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8E00B" w14:textId="77777777" w:rsidR="00505F35" w:rsidRDefault="008F487B" w:rsidP="001D3FEB">
      <w:pPr>
        <w:pStyle w:val="BodyText"/>
        <w:jc w:val="left"/>
        <w:rPr>
          <w:rFonts w:asciiTheme="majorHAnsi" w:hAnsiTheme="majorHAnsi"/>
          <w:b/>
          <w:color w:val="56004E"/>
          <w:sz w:val="24"/>
        </w:rPr>
      </w:pPr>
      <w:r>
        <w:rPr>
          <w:rFonts w:asciiTheme="majorHAnsi" w:hAnsiTheme="majorHAnsi"/>
          <w:b/>
          <w:noProof/>
          <w:color w:val="56004E"/>
          <w:sz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2F4C0" wp14:editId="4AB45D97">
                <wp:simplePos x="0" y="0"/>
                <wp:positionH relativeFrom="column">
                  <wp:posOffset>-679450</wp:posOffset>
                </wp:positionH>
                <wp:positionV relativeFrom="paragraph">
                  <wp:posOffset>-241300</wp:posOffset>
                </wp:positionV>
                <wp:extent cx="7061200" cy="3175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30F8" w14:textId="77777777" w:rsidR="000C2DF0" w:rsidRPr="00F12F24" w:rsidRDefault="00F12F24" w:rsidP="00F12F24">
                            <w:pPr>
                              <w:jc w:val="center"/>
                              <w:rPr>
                                <w:rFonts w:ascii="Louisiana" w:hAnsi="Louisiana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ouisiana" w:hAnsi="Louisiana"/>
                                <w:color w:val="FFFFFF"/>
                                <w:sz w:val="32"/>
                                <w:szCs w:val="32"/>
                              </w:rPr>
                              <w:t>Scheme of delegation of financial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F4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5pt;margin-top:-19pt;width:556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ix3g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" filled="f" stroked="f">
                <v:textbox>
                  <w:txbxContent>
                    <w:p w14:paraId="625F30F8" w14:textId="77777777" w:rsidR="000C2DF0" w:rsidRPr="00F12F24" w:rsidRDefault="00F12F24" w:rsidP="00F12F24">
                      <w:pPr>
                        <w:jc w:val="center"/>
                        <w:rPr>
                          <w:rFonts w:ascii="Louisiana" w:hAnsi="Louisiana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Louisiana" w:hAnsi="Louisiana"/>
                          <w:color w:val="FFFFFF"/>
                          <w:sz w:val="32"/>
                          <w:szCs w:val="32"/>
                        </w:rPr>
                        <w:t>Scheme of delegation of financial authority</w:t>
                      </w:r>
                    </w:p>
                  </w:txbxContent>
                </v:textbox>
              </v:shape>
            </w:pict>
          </mc:Fallback>
        </mc:AlternateContent>
      </w:r>
      <w:r w:rsidR="000C2DF0">
        <w:rPr>
          <w:rFonts w:asciiTheme="majorHAnsi" w:hAnsiTheme="majorHAnsi"/>
          <w:b/>
          <w:noProof/>
          <w:color w:val="56004E"/>
          <w:sz w:val="24"/>
          <w:lang w:eastAsia="en-GB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73CA8" wp14:editId="6D5EA17D">
                <wp:simplePos x="0" y="0"/>
                <wp:positionH relativeFrom="column">
                  <wp:posOffset>-962025</wp:posOffset>
                </wp:positionH>
                <wp:positionV relativeFrom="paragraph">
                  <wp:posOffset>-323850</wp:posOffset>
                </wp:positionV>
                <wp:extent cx="9810750" cy="524510"/>
                <wp:effectExtent l="0" t="0" r="0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524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30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EA37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81A27F" id="AutoShape 3" o:spid="_x0000_s1026" style="position:absolute;margin-left:-75.75pt;margin-top:-25.5pt;width:772.5pt;height:41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" fillcolor="#b30838" stroked="f" strokecolor="#9ea374"/>
            </w:pict>
          </mc:Fallback>
        </mc:AlternateContent>
      </w:r>
    </w:p>
    <w:p w14:paraId="1247AED6" w14:textId="77777777" w:rsidR="000C2DF0" w:rsidRDefault="000C2DF0" w:rsidP="000C2DF0">
      <w:pPr>
        <w:pStyle w:val="BodyText"/>
        <w:spacing w:after="0"/>
        <w:jc w:val="left"/>
        <w:rPr>
          <w:b/>
          <w:color w:val="56004E"/>
        </w:rPr>
      </w:pPr>
    </w:p>
    <w:p w14:paraId="630AFAFE" w14:textId="77777777" w:rsidR="00B27D57" w:rsidRDefault="006044D5" w:rsidP="0031476A">
      <w:pPr>
        <w:pStyle w:val="BodyText"/>
        <w:spacing w:after="0" w:line="360" w:lineRule="auto"/>
        <w:jc w:val="left"/>
        <w:rPr>
          <w:b/>
          <w:color w:val="56004E"/>
        </w:rPr>
      </w:pPr>
      <w:r>
        <w:rPr>
          <w:b/>
          <w:noProof/>
          <w:color w:val="56004E"/>
          <w:lang w:eastAsia="en-GB" w:bidi="he-IL"/>
        </w:rPr>
        <w:object w:dxaOrig="1440" w:dyaOrig="1440" w14:anchorId="62663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0.95pt;margin-top:13.9pt;width:115.05pt;height:75.8pt;z-index:251675648">
            <v:imagedata r:id="rId8" o:title=""/>
          </v:shape>
          <o:OLEObject Type="Embed" ProgID="PBrush" ShapeID="_x0000_s1026" DrawAspect="Content" ObjectID="_1793354262" r:id="rId9"/>
        </w:object>
      </w:r>
    </w:p>
    <w:p w14:paraId="374BDC68" w14:textId="77777777" w:rsidR="00B27D57" w:rsidRDefault="00B27D57" w:rsidP="0031476A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74535E77" w14:textId="77777777" w:rsidR="00B27D57" w:rsidRDefault="00B27D57" w:rsidP="0031476A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3D5BEF85" w14:textId="77777777" w:rsidR="00C301C6" w:rsidRDefault="00C301C6" w:rsidP="0031476A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0B009790" w14:textId="77777777" w:rsidR="00C301C6" w:rsidRDefault="00C301C6" w:rsidP="0031476A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30C32569" w14:textId="77777777" w:rsidR="00B27D57" w:rsidRDefault="00B27D57" w:rsidP="0031476A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497F0C87" w14:textId="77777777" w:rsidR="001D3FEB" w:rsidRDefault="00F33506" w:rsidP="0031476A">
      <w:pPr>
        <w:pStyle w:val="BodyText"/>
        <w:spacing w:after="0" w:line="360" w:lineRule="auto"/>
        <w:jc w:val="left"/>
        <w:rPr>
          <w:b/>
          <w:color w:val="56004E"/>
        </w:rPr>
      </w:pPr>
      <w:proofErr w:type="gramStart"/>
      <w:r w:rsidRPr="000C2DF0">
        <w:rPr>
          <w:b/>
          <w:color w:val="56004E"/>
        </w:rPr>
        <w:t>In order to</w:t>
      </w:r>
      <w:proofErr w:type="gramEnd"/>
      <w:r w:rsidRPr="000C2DF0">
        <w:rPr>
          <w:b/>
          <w:color w:val="56004E"/>
        </w:rPr>
        <w:t xml:space="preserve"> allow </w:t>
      </w:r>
      <w:proofErr w:type="spellStart"/>
      <w:r w:rsidR="0031476A">
        <w:rPr>
          <w:b/>
          <w:color w:val="56004E"/>
        </w:rPr>
        <w:t>Yesoiday</w:t>
      </w:r>
      <w:proofErr w:type="spellEnd"/>
      <w:r w:rsidR="0031476A">
        <w:rPr>
          <w:b/>
          <w:color w:val="56004E"/>
        </w:rPr>
        <w:t xml:space="preserve"> </w:t>
      </w:r>
      <w:proofErr w:type="spellStart"/>
      <w:r w:rsidR="0031476A">
        <w:rPr>
          <w:b/>
          <w:color w:val="56004E"/>
        </w:rPr>
        <w:t>HaTorah</w:t>
      </w:r>
      <w:proofErr w:type="spellEnd"/>
      <w:r w:rsidR="0031476A">
        <w:rPr>
          <w:b/>
          <w:color w:val="56004E"/>
        </w:rPr>
        <w:t xml:space="preserve"> Multi Academy Trust</w:t>
      </w:r>
      <w:r w:rsidR="00CB12C2" w:rsidRPr="000C2DF0">
        <w:rPr>
          <w:b/>
          <w:color w:val="56004E"/>
        </w:rPr>
        <w:t xml:space="preserve"> (</w:t>
      </w:r>
      <w:r w:rsidRPr="000C2DF0">
        <w:rPr>
          <w:b/>
          <w:color w:val="56004E"/>
        </w:rPr>
        <w:t xml:space="preserve">the </w:t>
      </w:r>
      <w:r w:rsidR="00CB12C2" w:rsidRPr="000C2DF0">
        <w:rPr>
          <w:b/>
          <w:color w:val="56004E"/>
        </w:rPr>
        <w:t>“</w:t>
      </w:r>
      <w:r w:rsidRPr="000C2DF0">
        <w:rPr>
          <w:b/>
          <w:color w:val="56004E"/>
        </w:rPr>
        <w:t>Trust</w:t>
      </w:r>
      <w:r w:rsidR="00CB12C2" w:rsidRPr="000C2DF0">
        <w:rPr>
          <w:b/>
          <w:color w:val="56004E"/>
        </w:rPr>
        <w:t>”)</w:t>
      </w:r>
      <w:r w:rsidRPr="000C2DF0">
        <w:rPr>
          <w:b/>
          <w:color w:val="56004E"/>
        </w:rPr>
        <w:t xml:space="preserve"> to function effectively, </w:t>
      </w:r>
      <w:r w:rsidR="00EB4394">
        <w:rPr>
          <w:b/>
          <w:color w:val="56004E"/>
        </w:rPr>
        <w:t>the Board of Trustees</w:t>
      </w:r>
      <w:r w:rsidR="00CB12C2" w:rsidRPr="000C2DF0">
        <w:rPr>
          <w:b/>
          <w:color w:val="56004E"/>
        </w:rPr>
        <w:t xml:space="preserve"> </w:t>
      </w:r>
      <w:r w:rsidR="00EB4394">
        <w:rPr>
          <w:b/>
          <w:color w:val="56004E"/>
        </w:rPr>
        <w:t xml:space="preserve">of the Trust </w:t>
      </w:r>
      <w:r w:rsidR="00CB12C2" w:rsidRPr="000C2DF0">
        <w:rPr>
          <w:b/>
          <w:color w:val="56004E"/>
        </w:rPr>
        <w:t xml:space="preserve">(the “Board”) delegate financial authority to the </w:t>
      </w:r>
      <w:r w:rsidR="00EB4394">
        <w:rPr>
          <w:b/>
          <w:color w:val="56004E"/>
        </w:rPr>
        <w:t>Chief Executive Officer (</w:t>
      </w:r>
      <w:r w:rsidR="0031476A">
        <w:rPr>
          <w:b/>
          <w:color w:val="56004E"/>
        </w:rPr>
        <w:t>CEO/EXECUTIVE PRINCIPAL</w:t>
      </w:r>
      <w:r w:rsidR="00EB4394">
        <w:rPr>
          <w:b/>
          <w:color w:val="56004E"/>
        </w:rPr>
        <w:t>),</w:t>
      </w:r>
      <w:r w:rsidR="00CB12C2" w:rsidRPr="000C2DF0">
        <w:rPr>
          <w:b/>
          <w:color w:val="56004E"/>
        </w:rPr>
        <w:t xml:space="preserve"> </w:t>
      </w:r>
      <w:r w:rsidR="00EB4394">
        <w:rPr>
          <w:b/>
          <w:color w:val="56004E"/>
        </w:rPr>
        <w:t>Chief Finance Officer (CFO)</w:t>
      </w:r>
      <w:r w:rsidR="004E4B98">
        <w:rPr>
          <w:b/>
          <w:color w:val="56004E"/>
        </w:rPr>
        <w:t>, Finance Committee</w:t>
      </w:r>
      <w:r w:rsidR="00CB12C2" w:rsidRPr="000C2DF0">
        <w:rPr>
          <w:b/>
          <w:color w:val="56004E"/>
        </w:rPr>
        <w:t xml:space="preserve"> and </w:t>
      </w:r>
      <w:r w:rsidR="0031476A">
        <w:rPr>
          <w:b/>
          <w:color w:val="56004E"/>
        </w:rPr>
        <w:t>the Head of School</w:t>
      </w:r>
      <w:r w:rsidRPr="000C2DF0">
        <w:rPr>
          <w:b/>
          <w:color w:val="56004E"/>
        </w:rPr>
        <w:t xml:space="preserve"> at each academy.  The extent and level of any such delegation is determined by the </w:t>
      </w:r>
      <w:r w:rsidR="00EB4394">
        <w:rPr>
          <w:b/>
          <w:color w:val="56004E"/>
        </w:rPr>
        <w:t>Board</w:t>
      </w:r>
      <w:r w:rsidRPr="000C2DF0">
        <w:rPr>
          <w:b/>
          <w:color w:val="56004E"/>
        </w:rPr>
        <w:t xml:space="preserve"> and is set out in this Scheme of Delegation of Financial Authority (the “Scheme”).</w:t>
      </w:r>
    </w:p>
    <w:p w14:paraId="2A1079A6" w14:textId="77777777" w:rsidR="008F487B" w:rsidRDefault="008F487B" w:rsidP="008F487B">
      <w:pPr>
        <w:pStyle w:val="BodyText"/>
        <w:spacing w:after="0" w:line="360" w:lineRule="auto"/>
        <w:jc w:val="left"/>
        <w:rPr>
          <w:b/>
          <w:color w:val="56004E"/>
        </w:rPr>
      </w:pPr>
    </w:p>
    <w:p w14:paraId="5517B0A4" w14:textId="77777777" w:rsidR="00F33506" w:rsidRDefault="00F33506" w:rsidP="008F487B">
      <w:pPr>
        <w:pStyle w:val="BodyText"/>
        <w:spacing w:after="0" w:line="360" w:lineRule="auto"/>
        <w:jc w:val="left"/>
        <w:rPr>
          <w:sz w:val="20"/>
        </w:rPr>
      </w:pPr>
      <w:r w:rsidRPr="000C2DF0">
        <w:rPr>
          <w:sz w:val="20"/>
        </w:rPr>
        <w:t xml:space="preserve">This Scheme distinguishes between matters reserved exclusively for the </w:t>
      </w:r>
      <w:r w:rsidR="00CB12C2" w:rsidRPr="000C2DF0">
        <w:rPr>
          <w:sz w:val="20"/>
        </w:rPr>
        <w:t>Board’s</w:t>
      </w:r>
      <w:r w:rsidRPr="000C2DF0">
        <w:rPr>
          <w:sz w:val="20"/>
        </w:rPr>
        <w:t xml:space="preserve"> approval or decision, and matters delegated to other individuals.  The Scheme sets out financial limits and signatories applicable to </w:t>
      </w:r>
      <w:r w:rsidR="00CB12C2" w:rsidRPr="000C2DF0">
        <w:rPr>
          <w:sz w:val="20"/>
        </w:rPr>
        <w:t xml:space="preserve">various </w:t>
      </w:r>
      <w:r w:rsidRPr="000C2DF0">
        <w:rPr>
          <w:sz w:val="20"/>
        </w:rPr>
        <w:t xml:space="preserve">matters </w:t>
      </w:r>
      <w:r w:rsidR="00CB12C2" w:rsidRPr="000C2DF0">
        <w:rPr>
          <w:sz w:val="20"/>
        </w:rPr>
        <w:t xml:space="preserve">and </w:t>
      </w:r>
      <w:r w:rsidR="00F75CC4" w:rsidRPr="000C2DF0">
        <w:rPr>
          <w:sz w:val="20"/>
        </w:rPr>
        <w:t>ensures</w:t>
      </w:r>
      <w:r w:rsidR="00CB12C2" w:rsidRPr="000C2DF0">
        <w:rPr>
          <w:sz w:val="20"/>
        </w:rPr>
        <w:t xml:space="preserve"> that there are sufficient operational controls in place for all the financial processes within the Trust</w:t>
      </w:r>
      <w:r w:rsidR="00505F35" w:rsidRPr="000C2DF0">
        <w:rPr>
          <w:sz w:val="20"/>
        </w:rPr>
        <w:t>.</w:t>
      </w:r>
    </w:p>
    <w:p w14:paraId="08E06D88" w14:textId="77777777" w:rsidR="004E4B98" w:rsidRDefault="004E4B98" w:rsidP="008F487B">
      <w:pPr>
        <w:pStyle w:val="BodyText"/>
        <w:spacing w:after="0" w:line="360" w:lineRule="auto"/>
        <w:jc w:val="left"/>
        <w:rPr>
          <w:sz w:val="20"/>
        </w:rPr>
      </w:pPr>
    </w:p>
    <w:p w14:paraId="24D6A7BD" w14:textId="77777777" w:rsidR="004E4B98" w:rsidRDefault="004E4B98" w:rsidP="008F487B">
      <w:pPr>
        <w:pStyle w:val="BodyText"/>
        <w:spacing w:after="0" w:line="360" w:lineRule="auto"/>
        <w:jc w:val="left"/>
        <w:rPr>
          <w:sz w:val="20"/>
        </w:rPr>
      </w:pPr>
      <w:r>
        <w:rPr>
          <w:sz w:val="20"/>
        </w:rPr>
        <w:t>For the avoidance of doubt any financial powers not mentioned in this document are reserved matters for the Trust Board.</w:t>
      </w:r>
    </w:p>
    <w:p w14:paraId="59EDD360" w14:textId="77777777" w:rsidR="008F487B" w:rsidRDefault="008F487B" w:rsidP="008F487B">
      <w:pPr>
        <w:pStyle w:val="BodyText"/>
        <w:spacing w:after="0" w:line="360" w:lineRule="auto"/>
        <w:jc w:val="left"/>
        <w:rPr>
          <w:sz w:val="20"/>
        </w:rPr>
      </w:pPr>
    </w:p>
    <w:p w14:paraId="2AB57EE1" w14:textId="13284639" w:rsidR="00505F35" w:rsidRDefault="00505F35" w:rsidP="00B27D57">
      <w:pPr>
        <w:pStyle w:val="BodyText"/>
        <w:spacing w:after="0" w:line="360" w:lineRule="auto"/>
        <w:jc w:val="left"/>
        <w:rPr>
          <w:sz w:val="20"/>
        </w:rPr>
      </w:pPr>
      <w:r w:rsidRPr="000C2DF0">
        <w:rPr>
          <w:sz w:val="20"/>
        </w:rPr>
        <w:t>This</w:t>
      </w:r>
      <w:r w:rsidR="00CB12C2" w:rsidRPr="000C2DF0">
        <w:rPr>
          <w:sz w:val="20"/>
        </w:rPr>
        <w:t xml:space="preserve"> Scheme </w:t>
      </w:r>
      <w:r w:rsidRPr="000C2DF0">
        <w:rPr>
          <w:sz w:val="20"/>
        </w:rPr>
        <w:t xml:space="preserve">was approved at the meeting of the Board on </w:t>
      </w:r>
      <w:r w:rsidR="00675611">
        <w:rPr>
          <w:sz w:val="20"/>
        </w:rPr>
        <w:t>1</w:t>
      </w:r>
      <w:r w:rsidR="00FD3F7B">
        <w:rPr>
          <w:sz w:val="20"/>
        </w:rPr>
        <w:t>st</w:t>
      </w:r>
      <w:r w:rsidR="00482634">
        <w:rPr>
          <w:sz w:val="20"/>
        </w:rPr>
        <w:t xml:space="preserve"> December 202</w:t>
      </w:r>
      <w:r w:rsidR="00FD3F7B">
        <w:rPr>
          <w:sz w:val="20"/>
        </w:rPr>
        <w:t>4</w:t>
      </w:r>
      <w:r w:rsidR="007716B6">
        <w:rPr>
          <w:sz w:val="20"/>
        </w:rPr>
        <w:t>.</w:t>
      </w:r>
    </w:p>
    <w:p w14:paraId="13D3024A" w14:textId="1B2C6327" w:rsidR="00A7101F" w:rsidRDefault="00A7101F" w:rsidP="00B27D57">
      <w:pPr>
        <w:pStyle w:val="BodyText"/>
        <w:spacing w:after="0" w:line="360" w:lineRule="auto"/>
        <w:jc w:val="left"/>
        <w:sectPr w:rsidR="00A7101F" w:rsidSect="00F12F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09" w:footer="709" w:gutter="0"/>
          <w:paperSrc w:first="1" w:other="1"/>
          <w:cols w:space="708"/>
          <w:docGrid w:linePitch="360"/>
        </w:sectPr>
      </w:pPr>
      <w:r>
        <w:rPr>
          <w:sz w:val="20"/>
        </w:rPr>
        <w:t>Next review Autumn Term Governors Meeting 202</w:t>
      </w:r>
      <w:r w:rsidR="00FD3F7B">
        <w:rPr>
          <w:sz w:val="20"/>
        </w:rPr>
        <w:t>5</w:t>
      </w:r>
      <w:r>
        <w:rPr>
          <w:sz w:val="20"/>
        </w:rPr>
        <w:t>.</w:t>
      </w:r>
    </w:p>
    <w:p w14:paraId="210B8064" w14:textId="77777777" w:rsidR="00505F35" w:rsidRPr="00505F35" w:rsidRDefault="00991F48" w:rsidP="00505F35">
      <w:pPr>
        <w:spacing w:after="240" w:line="276" w:lineRule="auto"/>
        <w:jc w:val="left"/>
        <w:rPr>
          <w:b/>
        </w:rPr>
      </w:pPr>
      <w:r>
        <w:rPr>
          <w:b/>
        </w:rPr>
        <w:lastRenderedPageBreak/>
        <w:t>FINANCIAL AUTHORISATION 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2057"/>
        <w:gridCol w:w="2012"/>
        <w:gridCol w:w="2181"/>
        <w:gridCol w:w="2126"/>
      </w:tblGrid>
      <w:tr w:rsidR="00627093" w14:paraId="5BB7293A" w14:textId="77777777" w:rsidTr="00627093">
        <w:tc>
          <w:tcPr>
            <w:tcW w:w="534" w:type="dxa"/>
            <w:tcBorders>
              <w:top w:val="nil"/>
              <w:left w:val="nil"/>
            </w:tcBorders>
            <w:shd w:val="clear" w:color="auto" w:fill="auto"/>
          </w:tcPr>
          <w:p w14:paraId="514935F2" w14:textId="77777777" w:rsidR="000C2DF0" w:rsidRPr="00505F35" w:rsidRDefault="000C2DF0" w:rsidP="00505F35">
            <w:pPr>
              <w:spacing w:line="276" w:lineRule="auto"/>
              <w:jc w:val="left"/>
              <w:rPr>
                <w:b/>
              </w:rPr>
            </w:pPr>
            <w:bookmarkStart w:id="0" w:name="_Hlk98923956"/>
          </w:p>
        </w:tc>
        <w:tc>
          <w:tcPr>
            <w:tcW w:w="2126" w:type="dxa"/>
            <w:shd w:val="clear" w:color="auto" w:fill="B20938"/>
          </w:tcPr>
          <w:p w14:paraId="00A778E8" w14:textId="77777777" w:rsidR="000C2DF0" w:rsidRPr="00627093" w:rsidRDefault="000C2DF0" w:rsidP="00627093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Duty</w:t>
            </w:r>
          </w:p>
        </w:tc>
        <w:tc>
          <w:tcPr>
            <w:tcW w:w="2126" w:type="dxa"/>
            <w:shd w:val="clear" w:color="auto" w:fill="B20938"/>
          </w:tcPr>
          <w:p w14:paraId="33D616A7" w14:textId="77777777" w:rsidR="000C2DF0" w:rsidRPr="00627093" w:rsidRDefault="000C2DF0" w:rsidP="00627093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Value</w:t>
            </w:r>
          </w:p>
        </w:tc>
        <w:tc>
          <w:tcPr>
            <w:tcW w:w="2268" w:type="dxa"/>
            <w:shd w:val="clear" w:color="auto" w:fill="B20938"/>
          </w:tcPr>
          <w:p w14:paraId="372FCB41" w14:textId="77777777" w:rsidR="000C2DF0" w:rsidRPr="00627093" w:rsidRDefault="000C2DF0" w:rsidP="00627093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Authority</w:t>
            </w:r>
          </w:p>
        </w:tc>
        <w:tc>
          <w:tcPr>
            <w:tcW w:w="2188" w:type="dxa"/>
            <w:shd w:val="clear" w:color="auto" w:fill="B20938"/>
          </w:tcPr>
          <w:p w14:paraId="3F953FA3" w14:textId="77777777" w:rsidR="000C2DF0" w:rsidRPr="00627093" w:rsidRDefault="000C2DF0" w:rsidP="00627093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Method</w:t>
            </w:r>
          </w:p>
        </w:tc>
      </w:tr>
      <w:tr w:rsidR="00627093" w14:paraId="7490EB9A" w14:textId="77777777" w:rsidTr="00627093">
        <w:tc>
          <w:tcPr>
            <w:tcW w:w="534" w:type="dxa"/>
            <w:vMerge w:val="restart"/>
            <w:shd w:val="clear" w:color="auto" w:fill="56004E"/>
            <w:textDirection w:val="btLr"/>
          </w:tcPr>
          <w:p w14:paraId="1CB58E2F" w14:textId="77777777" w:rsidR="00627093" w:rsidRPr="00627093" w:rsidRDefault="00627093" w:rsidP="0036443F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627093">
              <w:rPr>
                <w:b/>
              </w:rPr>
              <w:t>PROCUREMENT</w:t>
            </w:r>
          </w:p>
        </w:tc>
        <w:tc>
          <w:tcPr>
            <w:tcW w:w="2126" w:type="dxa"/>
            <w:shd w:val="clear" w:color="auto" w:fill="B9AB97"/>
          </w:tcPr>
          <w:p w14:paraId="7C1C5B11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627093">
              <w:rPr>
                <w:b/>
                <w:color w:val="FFFFFF" w:themeColor="background1"/>
                <w:sz w:val="20"/>
              </w:rPr>
              <w:t>Ordering goods, works and services</w:t>
            </w:r>
          </w:p>
        </w:tc>
        <w:tc>
          <w:tcPr>
            <w:tcW w:w="2126" w:type="dxa"/>
          </w:tcPr>
          <w:p w14:paraId="66DE8BA4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Up to £3,000</w:t>
            </w:r>
          </w:p>
        </w:tc>
        <w:tc>
          <w:tcPr>
            <w:tcW w:w="2268" w:type="dxa"/>
          </w:tcPr>
          <w:p w14:paraId="02A00526" w14:textId="77777777" w:rsidR="00627093" w:rsidRPr="00627093" w:rsidRDefault="00627093" w:rsidP="0031476A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 xml:space="preserve">Head </w:t>
            </w:r>
            <w:r w:rsidR="0031476A">
              <w:rPr>
                <w:sz w:val="20"/>
              </w:rPr>
              <w:t>of School</w:t>
            </w:r>
          </w:p>
        </w:tc>
        <w:tc>
          <w:tcPr>
            <w:tcW w:w="2188" w:type="dxa"/>
          </w:tcPr>
          <w:p w14:paraId="4FF22BDD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 xml:space="preserve">Notify </w:t>
            </w:r>
            <w:r w:rsidR="00EB4394">
              <w:rPr>
                <w:sz w:val="20"/>
              </w:rPr>
              <w:t>CFO</w:t>
            </w:r>
            <w:r w:rsidRPr="00627093">
              <w:rPr>
                <w:sz w:val="20"/>
              </w:rPr>
              <w:t>.</w:t>
            </w:r>
          </w:p>
          <w:p w14:paraId="1889ABCF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627093" w14:paraId="0CF1A182" w14:textId="77777777" w:rsidTr="00627093">
        <w:tc>
          <w:tcPr>
            <w:tcW w:w="534" w:type="dxa"/>
            <w:vMerge/>
            <w:shd w:val="clear" w:color="auto" w:fill="56004E"/>
          </w:tcPr>
          <w:p w14:paraId="76AB771E" w14:textId="77777777" w:rsidR="00627093" w:rsidRDefault="00627093" w:rsidP="004307FE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2B05A3A0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1262EFFE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£3,001 - £10,000</w:t>
            </w:r>
          </w:p>
        </w:tc>
        <w:tc>
          <w:tcPr>
            <w:tcW w:w="2268" w:type="dxa"/>
          </w:tcPr>
          <w:p w14:paraId="789DA5F5" w14:textId="77777777" w:rsidR="00627093" w:rsidRPr="00627093" w:rsidRDefault="00EB4394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</w:tc>
        <w:tc>
          <w:tcPr>
            <w:tcW w:w="2188" w:type="dxa"/>
          </w:tcPr>
          <w:p w14:paraId="52F49B2B" w14:textId="01F219C3" w:rsidR="00627093" w:rsidRPr="00627093" w:rsidRDefault="00EB4394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  <w:r w:rsidR="00627093" w:rsidRPr="00627093">
              <w:rPr>
                <w:sz w:val="20"/>
              </w:rPr>
              <w:t xml:space="preserve"> to ensure best value demonstrated.  </w:t>
            </w:r>
          </w:p>
        </w:tc>
      </w:tr>
      <w:tr w:rsidR="00627093" w14:paraId="35D78C4A" w14:textId="77777777" w:rsidTr="00627093">
        <w:tc>
          <w:tcPr>
            <w:tcW w:w="534" w:type="dxa"/>
            <w:vMerge/>
            <w:shd w:val="clear" w:color="auto" w:fill="56004E"/>
          </w:tcPr>
          <w:p w14:paraId="2CCDA662" w14:textId="77777777" w:rsidR="00627093" w:rsidRDefault="00627093" w:rsidP="00505F35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6874D33E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64D8E2F7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£10,001 - £20,000</w:t>
            </w:r>
          </w:p>
        </w:tc>
        <w:tc>
          <w:tcPr>
            <w:tcW w:w="2268" w:type="dxa"/>
          </w:tcPr>
          <w:p w14:paraId="6F87F7B7" w14:textId="7F8EDBD9" w:rsidR="00627093" w:rsidRPr="00627093" w:rsidRDefault="00627093" w:rsidP="0031476A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Finance Committee</w:t>
            </w:r>
          </w:p>
        </w:tc>
        <w:tc>
          <w:tcPr>
            <w:tcW w:w="2188" w:type="dxa"/>
          </w:tcPr>
          <w:p w14:paraId="4E372D74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Minimum of three quotes.</w:t>
            </w:r>
          </w:p>
        </w:tc>
      </w:tr>
      <w:tr w:rsidR="00627093" w14:paraId="3BEC72FE" w14:textId="77777777" w:rsidTr="00627093">
        <w:tc>
          <w:tcPr>
            <w:tcW w:w="534" w:type="dxa"/>
            <w:vMerge/>
            <w:shd w:val="clear" w:color="auto" w:fill="56004E"/>
          </w:tcPr>
          <w:p w14:paraId="292DC1DC" w14:textId="77777777" w:rsidR="00627093" w:rsidRDefault="00627093" w:rsidP="00505F35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5B72D9A1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6013E4FB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£20,001 - £65,000</w:t>
            </w:r>
          </w:p>
        </w:tc>
        <w:tc>
          <w:tcPr>
            <w:tcW w:w="2268" w:type="dxa"/>
          </w:tcPr>
          <w:p w14:paraId="764455CF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369CE43B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Minimum of three quotes.</w:t>
            </w:r>
          </w:p>
        </w:tc>
      </w:tr>
      <w:tr w:rsidR="00627093" w14:paraId="6B181698" w14:textId="77777777" w:rsidTr="00627093">
        <w:tc>
          <w:tcPr>
            <w:tcW w:w="534" w:type="dxa"/>
            <w:vMerge/>
            <w:shd w:val="clear" w:color="auto" w:fill="56004E"/>
          </w:tcPr>
          <w:p w14:paraId="79043FA7" w14:textId="77777777" w:rsidR="00627093" w:rsidRDefault="00627093" w:rsidP="00505F35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330AF184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45E01491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Over £65,001</w:t>
            </w:r>
          </w:p>
        </w:tc>
        <w:tc>
          <w:tcPr>
            <w:tcW w:w="2268" w:type="dxa"/>
          </w:tcPr>
          <w:p w14:paraId="4081E0AF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51956387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Formal tendering process including advertising in OJEU (if over the OJEU threshold).</w:t>
            </w:r>
          </w:p>
        </w:tc>
      </w:tr>
      <w:bookmarkEnd w:id="0"/>
      <w:tr w:rsidR="00627093" w14:paraId="3678DEB8" w14:textId="77777777" w:rsidTr="00627093">
        <w:tc>
          <w:tcPr>
            <w:tcW w:w="534" w:type="dxa"/>
            <w:vMerge/>
            <w:shd w:val="clear" w:color="auto" w:fill="56004E"/>
          </w:tcPr>
          <w:p w14:paraId="1627BC48" w14:textId="77777777" w:rsidR="00627093" w:rsidRDefault="00627093" w:rsidP="00505F35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0D6EE1C3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627093">
              <w:rPr>
                <w:b/>
                <w:color w:val="FFFFFF" w:themeColor="background1"/>
                <w:sz w:val="20"/>
              </w:rPr>
              <w:t>Asset Management Orders</w:t>
            </w:r>
          </w:p>
        </w:tc>
        <w:tc>
          <w:tcPr>
            <w:tcW w:w="2126" w:type="dxa"/>
          </w:tcPr>
          <w:p w14:paraId="71D7B3E1" w14:textId="77777777" w:rsidR="00627093" w:rsidRPr="00627093" w:rsidRDefault="004E4B98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7B1CA7DC" w14:textId="77777777" w:rsidR="00627093" w:rsidRPr="00627093" w:rsidRDefault="0031476A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Finance Committee</w:t>
            </w:r>
            <w:r w:rsidR="00627093" w:rsidRPr="00627093">
              <w:rPr>
                <w:sz w:val="20"/>
              </w:rPr>
              <w:t xml:space="preserve"> via Asset and Premises Maintenance Strategy</w:t>
            </w:r>
          </w:p>
        </w:tc>
        <w:tc>
          <w:tcPr>
            <w:tcW w:w="2188" w:type="dxa"/>
          </w:tcPr>
          <w:p w14:paraId="15609D22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Minimum of three quotes.  Formal tendering process including advertising in OJEU (if over the OJEU threshold).</w:t>
            </w:r>
          </w:p>
        </w:tc>
      </w:tr>
      <w:tr w:rsidR="00627093" w14:paraId="23632557" w14:textId="77777777" w:rsidTr="00627093">
        <w:tc>
          <w:tcPr>
            <w:tcW w:w="534" w:type="dxa"/>
            <w:vMerge/>
            <w:shd w:val="clear" w:color="auto" w:fill="56004E"/>
          </w:tcPr>
          <w:p w14:paraId="5605099E" w14:textId="77777777" w:rsidR="00627093" w:rsidRDefault="00627093" w:rsidP="00505F35">
            <w:pPr>
              <w:spacing w:line="276" w:lineRule="auto"/>
              <w:jc w:val="left"/>
            </w:pPr>
          </w:p>
        </w:tc>
        <w:tc>
          <w:tcPr>
            <w:tcW w:w="2126" w:type="dxa"/>
            <w:shd w:val="clear" w:color="auto" w:fill="B9AB97"/>
          </w:tcPr>
          <w:p w14:paraId="1A4EC4E6" w14:textId="77777777" w:rsidR="00627093" w:rsidRPr="00627093" w:rsidRDefault="00627093" w:rsidP="00627093">
            <w:pPr>
              <w:spacing w:before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627093">
              <w:rPr>
                <w:b/>
                <w:color w:val="FFFFFF" w:themeColor="background1"/>
                <w:sz w:val="20"/>
              </w:rPr>
              <w:t>Authority to accept other than best value quotation or tender</w:t>
            </w:r>
          </w:p>
        </w:tc>
        <w:tc>
          <w:tcPr>
            <w:tcW w:w="2126" w:type="dxa"/>
          </w:tcPr>
          <w:p w14:paraId="5AE45E81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060A687D" w14:textId="77777777" w:rsidR="00627093" w:rsidRPr="00627093" w:rsidRDefault="00EB4394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  <w:r w:rsidR="00627093" w:rsidRPr="00627093">
              <w:rPr>
                <w:sz w:val="20"/>
              </w:rPr>
              <w:t xml:space="preserve"> (up to £10,000) and </w:t>
            </w:r>
            <w:r w:rsidR="0031476A">
              <w:rPr>
                <w:sz w:val="20"/>
              </w:rPr>
              <w:t>Finance Committee</w:t>
            </w:r>
            <w:r w:rsidR="00627093" w:rsidRPr="00627093">
              <w:rPr>
                <w:sz w:val="20"/>
              </w:rPr>
              <w:t xml:space="preserve"> (over £10,000)</w:t>
            </w:r>
          </w:p>
        </w:tc>
        <w:tc>
          <w:tcPr>
            <w:tcW w:w="2188" w:type="dxa"/>
          </w:tcPr>
          <w:p w14:paraId="58572CEB" w14:textId="77777777" w:rsidR="00627093" w:rsidRPr="00627093" w:rsidRDefault="00627093" w:rsidP="00627093">
            <w:pPr>
              <w:spacing w:before="120" w:after="120" w:line="276" w:lineRule="auto"/>
              <w:jc w:val="left"/>
              <w:rPr>
                <w:sz w:val="20"/>
              </w:rPr>
            </w:pPr>
            <w:r w:rsidRPr="00627093">
              <w:rPr>
                <w:sz w:val="20"/>
              </w:rPr>
              <w:t>Ensure disposal maintains principles of regulatory, proprietary and value for money.</w:t>
            </w:r>
          </w:p>
        </w:tc>
      </w:tr>
    </w:tbl>
    <w:p w14:paraId="2D9C38A6" w14:textId="77777777" w:rsidR="0036443F" w:rsidRDefault="0019057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068"/>
        <w:gridCol w:w="1910"/>
        <w:gridCol w:w="2249"/>
        <w:gridCol w:w="2120"/>
      </w:tblGrid>
      <w:tr w:rsidR="00524DF1" w14:paraId="6B21D7F7" w14:textId="77777777" w:rsidTr="00524DF1">
        <w:tc>
          <w:tcPr>
            <w:tcW w:w="675" w:type="dxa"/>
            <w:tcBorders>
              <w:top w:val="nil"/>
              <w:left w:val="nil"/>
            </w:tcBorders>
            <w:shd w:val="clear" w:color="auto" w:fill="auto"/>
          </w:tcPr>
          <w:p w14:paraId="5D35FB10" w14:textId="77777777" w:rsidR="0036443F" w:rsidRPr="00505F35" w:rsidRDefault="0036443F" w:rsidP="00847F9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2127" w:type="dxa"/>
            <w:shd w:val="clear" w:color="auto" w:fill="B20938"/>
          </w:tcPr>
          <w:p w14:paraId="7AED8EF1" w14:textId="77777777" w:rsidR="0036443F" w:rsidRPr="00627093" w:rsidRDefault="0036443F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Duty</w:t>
            </w:r>
          </w:p>
        </w:tc>
        <w:tc>
          <w:tcPr>
            <w:tcW w:w="1984" w:type="dxa"/>
            <w:shd w:val="clear" w:color="auto" w:fill="B20938"/>
          </w:tcPr>
          <w:p w14:paraId="0691B69B" w14:textId="77777777" w:rsidR="0036443F" w:rsidRPr="00627093" w:rsidRDefault="0036443F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Value</w:t>
            </w:r>
          </w:p>
        </w:tc>
        <w:tc>
          <w:tcPr>
            <w:tcW w:w="2268" w:type="dxa"/>
            <w:shd w:val="clear" w:color="auto" w:fill="B20938"/>
          </w:tcPr>
          <w:p w14:paraId="1F16FFF3" w14:textId="77777777" w:rsidR="0036443F" w:rsidRPr="00627093" w:rsidRDefault="0036443F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Authority</w:t>
            </w:r>
          </w:p>
        </w:tc>
        <w:tc>
          <w:tcPr>
            <w:tcW w:w="2188" w:type="dxa"/>
            <w:shd w:val="clear" w:color="auto" w:fill="B20938"/>
          </w:tcPr>
          <w:p w14:paraId="5065C420" w14:textId="77777777" w:rsidR="0036443F" w:rsidRPr="00627093" w:rsidRDefault="0036443F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Method</w:t>
            </w:r>
          </w:p>
        </w:tc>
      </w:tr>
      <w:tr w:rsidR="00524DF1" w14:paraId="56B5637D" w14:textId="77777777" w:rsidTr="00524DF1">
        <w:tc>
          <w:tcPr>
            <w:tcW w:w="675" w:type="dxa"/>
            <w:vMerge w:val="restart"/>
            <w:shd w:val="clear" w:color="auto" w:fill="56004E"/>
            <w:textDirection w:val="btLr"/>
          </w:tcPr>
          <w:p w14:paraId="0C66FE7E" w14:textId="77777777" w:rsidR="0036443F" w:rsidRPr="0036443F" w:rsidRDefault="0036443F" w:rsidP="0036443F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36443F">
              <w:rPr>
                <w:b/>
                <w:color w:val="FFFFFF" w:themeColor="background1"/>
              </w:rPr>
              <w:t>SIGNATORIES</w:t>
            </w:r>
          </w:p>
        </w:tc>
        <w:tc>
          <w:tcPr>
            <w:tcW w:w="2127" w:type="dxa"/>
            <w:shd w:val="clear" w:color="auto" w:fill="B9AB97"/>
          </w:tcPr>
          <w:p w14:paraId="663DE0A4" w14:textId="77777777" w:rsidR="0036443F" w:rsidRPr="00524DF1" w:rsidRDefault="0036443F" w:rsidP="0036443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>Signatories for cheques</w:t>
            </w:r>
          </w:p>
        </w:tc>
        <w:tc>
          <w:tcPr>
            <w:tcW w:w="1984" w:type="dxa"/>
          </w:tcPr>
          <w:p w14:paraId="6EDFEE9C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1FD1BA41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Two signatories from:</w:t>
            </w:r>
          </w:p>
          <w:p w14:paraId="4BE31286" w14:textId="77777777" w:rsidR="0036443F" w:rsidRPr="0036443F" w:rsidRDefault="0031476A" w:rsidP="0031476A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Head of School</w:t>
            </w:r>
          </w:p>
          <w:p w14:paraId="614A8062" w14:textId="77777777" w:rsidR="0036443F" w:rsidRPr="0036443F" w:rsidRDefault="00EB4394" w:rsidP="0036443F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14:paraId="022C2A6A" w14:textId="77777777" w:rsidR="0036443F" w:rsidRPr="0036443F" w:rsidRDefault="0031476A" w:rsidP="0036443F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CEO/EXECUTIVE PRINCIPAL</w:t>
            </w:r>
          </w:p>
        </w:tc>
        <w:tc>
          <w:tcPr>
            <w:tcW w:w="2188" w:type="dxa"/>
          </w:tcPr>
          <w:p w14:paraId="7363CCD1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41DEBD65" w14:textId="77777777" w:rsidTr="00524DF1">
        <w:tc>
          <w:tcPr>
            <w:tcW w:w="675" w:type="dxa"/>
            <w:vMerge/>
            <w:shd w:val="clear" w:color="auto" w:fill="56004E"/>
          </w:tcPr>
          <w:p w14:paraId="07B6A308" w14:textId="77777777" w:rsidR="0036443F" w:rsidRDefault="0036443F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04991D9C" w14:textId="77777777" w:rsidR="0036443F" w:rsidRPr="00524DF1" w:rsidRDefault="0036443F" w:rsidP="0036443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>Signatories for BACS payments and other bank transfers</w:t>
            </w:r>
          </w:p>
        </w:tc>
        <w:tc>
          <w:tcPr>
            <w:tcW w:w="1984" w:type="dxa"/>
          </w:tcPr>
          <w:p w14:paraId="0111A9E4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1DAF367E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Two signatories from:</w:t>
            </w:r>
          </w:p>
          <w:p w14:paraId="65CA4F1F" w14:textId="77777777" w:rsidR="0036443F" w:rsidRPr="0036443F" w:rsidRDefault="0031476A" w:rsidP="0036443F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Head of School</w:t>
            </w:r>
          </w:p>
          <w:p w14:paraId="1D4A4B51" w14:textId="77777777" w:rsidR="0036443F" w:rsidRPr="0036443F" w:rsidRDefault="00EB4394" w:rsidP="0036443F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14:paraId="46382590" w14:textId="77777777" w:rsidR="0036443F" w:rsidRPr="0036443F" w:rsidRDefault="0031476A" w:rsidP="0036443F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CEO/EXECUTIVE PRINCIPAL</w:t>
            </w:r>
          </w:p>
        </w:tc>
        <w:tc>
          <w:tcPr>
            <w:tcW w:w="2188" w:type="dxa"/>
          </w:tcPr>
          <w:p w14:paraId="7305D58F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14160184" w14:textId="77777777" w:rsidTr="00524DF1">
        <w:tc>
          <w:tcPr>
            <w:tcW w:w="675" w:type="dxa"/>
            <w:vMerge/>
            <w:shd w:val="clear" w:color="auto" w:fill="56004E"/>
          </w:tcPr>
          <w:p w14:paraId="19149BA5" w14:textId="77777777" w:rsidR="0036443F" w:rsidRDefault="0036443F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46A3B526" w14:textId="77777777" w:rsidR="0036443F" w:rsidRPr="00524DF1" w:rsidRDefault="0036443F" w:rsidP="0036443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 xml:space="preserve">Signatories for </w:t>
            </w:r>
            <w:r w:rsidR="00EB4394">
              <w:rPr>
                <w:b/>
                <w:color w:val="FFFFFF" w:themeColor="background1"/>
                <w:sz w:val="20"/>
              </w:rPr>
              <w:t>ESFA</w:t>
            </w:r>
            <w:r w:rsidRPr="00524DF1">
              <w:rPr>
                <w:b/>
                <w:color w:val="FFFFFF" w:themeColor="background1"/>
                <w:sz w:val="20"/>
              </w:rPr>
              <w:t xml:space="preserve"> grant claims and </w:t>
            </w:r>
            <w:r w:rsidR="00EB4394">
              <w:rPr>
                <w:b/>
                <w:color w:val="FFFFFF" w:themeColor="background1"/>
                <w:sz w:val="20"/>
              </w:rPr>
              <w:t>ESFA</w:t>
            </w:r>
            <w:r w:rsidRPr="00524DF1">
              <w:rPr>
                <w:b/>
                <w:color w:val="FFFFFF" w:themeColor="background1"/>
                <w:sz w:val="20"/>
              </w:rPr>
              <w:t xml:space="preserve"> returns</w:t>
            </w:r>
          </w:p>
        </w:tc>
        <w:tc>
          <w:tcPr>
            <w:tcW w:w="1984" w:type="dxa"/>
          </w:tcPr>
          <w:p w14:paraId="11695317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10A55C7F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  <w:r w:rsidRPr="0036443F">
              <w:rPr>
                <w:sz w:val="20"/>
              </w:rPr>
              <w:t>Two signatories from:</w:t>
            </w:r>
          </w:p>
          <w:p w14:paraId="32DA1E06" w14:textId="77777777" w:rsidR="0036443F" w:rsidRPr="0036443F" w:rsidRDefault="0031476A" w:rsidP="0036443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Head of School</w:t>
            </w:r>
          </w:p>
          <w:p w14:paraId="74BE9442" w14:textId="77777777" w:rsidR="0036443F" w:rsidRPr="0036443F" w:rsidRDefault="00EB4394" w:rsidP="0036443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14:paraId="4E4A9E23" w14:textId="77777777" w:rsidR="0036443F" w:rsidRPr="0036443F" w:rsidRDefault="0031476A" w:rsidP="0036443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342" w:hanging="342"/>
              <w:jc w:val="left"/>
              <w:rPr>
                <w:sz w:val="20"/>
              </w:rPr>
            </w:pPr>
            <w:r>
              <w:rPr>
                <w:sz w:val="20"/>
              </w:rPr>
              <w:t>CEO/EXECUTIVE PRINCIPAL</w:t>
            </w:r>
          </w:p>
        </w:tc>
        <w:tc>
          <w:tcPr>
            <w:tcW w:w="2188" w:type="dxa"/>
          </w:tcPr>
          <w:p w14:paraId="1FA18FCA" w14:textId="77777777" w:rsidR="0036443F" w:rsidRPr="0036443F" w:rsidRDefault="0036443F" w:rsidP="0036443F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BC0BCD" w14:paraId="0CCDB303" w14:textId="77777777" w:rsidTr="00524DF1">
        <w:trPr>
          <w:trHeight w:val="185"/>
        </w:trPr>
        <w:tc>
          <w:tcPr>
            <w:tcW w:w="9242" w:type="dxa"/>
            <w:gridSpan w:val="5"/>
            <w:shd w:val="clear" w:color="auto" w:fill="B20938"/>
            <w:textDirection w:val="btLr"/>
          </w:tcPr>
          <w:p w14:paraId="2B44E338" w14:textId="77777777" w:rsidR="00BC0BCD" w:rsidRPr="00524DF1" w:rsidRDefault="00BC0BCD" w:rsidP="00505F35">
            <w:pPr>
              <w:spacing w:line="276" w:lineRule="auto"/>
              <w:jc w:val="left"/>
              <w:rPr>
                <w:b/>
                <w:color w:val="FFFFFF" w:themeColor="background1"/>
              </w:rPr>
            </w:pPr>
          </w:p>
        </w:tc>
      </w:tr>
      <w:tr w:rsidR="00524DF1" w14:paraId="5BFFC845" w14:textId="77777777" w:rsidTr="00524DF1">
        <w:tc>
          <w:tcPr>
            <w:tcW w:w="675" w:type="dxa"/>
            <w:vMerge w:val="restart"/>
            <w:shd w:val="clear" w:color="auto" w:fill="56004E"/>
            <w:textDirection w:val="btLr"/>
          </w:tcPr>
          <w:p w14:paraId="4A59417F" w14:textId="77777777" w:rsidR="00BC0BCD" w:rsidRPr="00BC0BCD" w:rsidRDefault="00BC0BCD" w:rsidP="00BC0BCD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BC0BCD">
              <w:rPr>
                <w:b/>
                <w:color w:val="FFFFFF" w:themeColor="background1"/>
              </w:rPr>
              <w:t>VIREMENTS</w:t>
            </w:r>
          </w:p>
        </w:tc>
        <w:tc>
          <w:tcPr>
            <w:tcW w:w="2127" w:type="dxa"/>
            <w:shd w:val="clear" w:color="auto" w:fill="B9AB97"/>
          </w:tcPr>
          <w:p w14:paraId="5D3282F2" w14:textId="77777777" w:rsidR="00BC0BCD" w:rsidRPr="00524DF1" w:rsidRDefault="00BC0BCD" w:rsidP="00BC0BCD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>Approving transfer between budget headings</w:t>
            </w:r>
          </w:p>
        </w:tc>
        <w:tc>
          <w:tcPr>
            <w:tcW w:w="1984" w:type="dxa"/>
          </w:tcPr>
          <w:p w14:paraId="75D667A3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 w:rsidRPr="00BC0BCD">
              <w:rPr>
                <w:sz w:val="20"/>
              </w:rPr>
              <w:t>Up to £10,000</w:t>
            </w:r>
          </w:p>
        </w:tc>
        <w:tc>
          <w:tcPr>
            <w:tcW w:w="2268" w:type="dxa"/>
          </w:tcPr>
          <w:p w14:paraId="3D52BD5E" w14:textId="77777777" w:rsidR="00BC0BCD" w:rsidRPr="00BC0BCD" w:rsidRDefault="00EB4394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  <w:p w14:paraId="2A37A162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  <w:tc>
          <w:tcPr>
            <w:tcW w:w="2188" w:type="dxa"/>
          </w:tcPr>
          <w:p w14:paraId="3336E519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62FD4D18" w14:textId="77777777" w:rsidTr="00524DF1">
        <w:tc>
          <w:tcPr>
            <w:tcW w:w="675" w:type="dxa"/>
            <w:vMerge/>
            <w:shd w:val="clear" w:color="auto" w:fill="56004E"/>
          </w:tcPr>
          <w:p w14:paraId="7EB2F73F" w14:textId="77777777" w:rsidR="00BC0BCD" w:rsidRDefault="00BC0BCD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32C43994" w14:textId="77777777" w:rsidR="00BC0BCD" w:rsidRPr="00524DF1" w:rsidRDefault="00BC0BCD" w:rsidP="00BC0BCD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2CE1A8D3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 w:rsidRPr="00BC0BCD">
              <w:rPr>
                <w:sz w:val="20"/>
              </w:rPr>
              <w:t>£10,001 to £20,000</w:t>
            </w:r>
          </w:p>
        </w:tc>
        <w:tc>
          <w:tcPr>
            <w:tcW w:w="2268" w:type="dxa"/>
          </w:tcPr>
          <w:p w14:paraId="68167A1F" w14:textId="77777777" w:rsidR="00BC0BCD" w:rsidRPr="00BC0BCD" w:rsidRDefault="0031476A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Finance </w:t>
            </w:r>
            <w:r w:rsidR="00BC0BCD" w:rsidRPr="00BC0BCD">
              <w:rPr>
                <w:sz w:val="20"/>
              </w:rPr>
              <w:t>Committee</w:t>
            </w:r>
          </w:p>
        </w:tc>
        <w:tc>
          <w:tcPr>
            <w:tcW w:w="2188" w:type="dxa"/>
          </w:tcPr>
          <w:p w14:paraId="4157DE70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379196DA" w14:textId="77777777" w:rsidTr="00524DF1">
        <w:tc>
          <w:tcPr>
            <w:tcW w:w="675" w:type="dxa"/>
            <w:vMerge/>
            <w:shd w:val="clear" w:color="auto" w:fill="56004E"/>
          </w:tcPr>
          <w:p w14:paraId="2A838CD4" w14:textId="77777777" w:rsidR="00BC0BCD" w:rsidRDefault="00BC0BCD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13BE6534" w14:textId="77777777" w:rsidR="00BC0BCD" w:rsidRPr="00524DF1" w:rsidRDefault="00BC0BCD" w:rsidP="00BC0BCD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0A3D3A9C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 w:rsidRPr="00BC0BCD">
              <w:rPr>
                <w:sz w:val="20"/>
              </w:rPr>
              <w:t>Over £20,000</w:t>
            </w:r>
          </w:p>
        </w:tc>
        <w:tc>
          <w:tcPr>
            <w:tcW w:w="2268" w:type="dxa"/>
          </w:tcPr>
          <w:p w14:paraId="69FE276B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  <w:r w:rsidRPr="00BC0BCD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563B2F47" w14:textId="77777777" w:rsidR="00BC0BCD" w:rsidRPr="00BC0BCD" w:rsidRDefault="00BC0BCD" w:rsidP="00BC0BCD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42990AFF" w14:textId="77777777" w:rsidTr="00524DF1">
        <w:tc>
          <w:tcPr>
            <w:tcW w:w="9242" w:type="dxa"/>
            <w:gridSpan w:val="5"/>
            <w:shd w:val="clear" w:color="auto" w:fill="B20938"/>
          </w:tcPr>
          <w:p w14:paraId="6754FDCA" w14:textId="77777777" w:rsidR="00524DF1" w:rsidRPr="00524DF1" w:rsidRDefault="00524DF1" w:rsidP="00505F35">
            <w:pPr>
              <w:spacing w:line="276" w:lineRule="auto"/>
              <w:jc w:val="left"/>
              <w:rPr>
                <w:b/>
                <w:sz w:val="14"/>
              </w:rPr>
            </w:pPr>
          </w:p>
        </w:tc>
      </w:tr>
      <w:tr w:rsidR="00524DF1" w14:paraId="7F0FEB87" w14:textId="77777777" w:rsidTr="00524DF1">
        <w:tc>
          <w:tcPr>
            <w:tcW w:w="675" w:type="dxa"/>
            <w:vMerge w:val="restart"/>
            <w:shd w:val="clear" w:color="auto" w:fill="56004E"/>
            <w:textDirection w:val="btLr"/>
          </w:tcPr>
          <w:p w14:paraId="04479F99" w14:textId="77777777" w:rsidR="00524DF1" w:rsidRPr="00524DF1" w:rsidRDefault="00524DF1" w:rsidP="00524DF1">
            <w:pPr>
              <w:spacing w:line="276" w:lineRule="auto"/>
              <w:ind w:left="113" w:right="113"/>
              <w:jc w:val="center"/>
              <w:rPr>
                <w:b/>
                <w:color w:val="FFFFFF" w:themeColor="background1"/>
              </w:rPr>
            </w:pPr>
            <w:r w:rsidRPr="00524DF1">
              <w:rPr>
                <w:b/>
                <w:color w:val="FFFFFF" w:themeColor="background1"/>
              </w:rPr>
              <w:t>ASSETS</w:t>
            </w:r>
          </w:p>
        </w:tc>
        <w:tc>
          <w:tcPr>
            <w:tcW w:w="2127" w:type="dxa"/>
            <w:shd w:val="clear" w:color="auto" w:fill="B9AB97"/>
          </w:tcPr>
          <w:p w14:paraId="4AC26495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>Authorising disposal of unusable or obsolete assets</w:t>
            </w:r>
          </w:p>
        </w:tc>
        <w:tc>
          <w:tcPr>
            <w:tcW w:w="1984" w:type="dxa"/>
          </w:tcPr>
          <w:p w14:paraId="1E998438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Up to £10,000</w:t>
            </w:r>
          </w:p>
        </w:tc>
        <w:tc>
          <w:tcPr>
            <w:tcW w:w="2268" w:type="dxa"/>
          </w:tcPr>
          <w:p w14:paraId="027214E4" w14:textId="77777777" w:rsidR="00524DF1" w:rsidRPr="00524DF1" w:rsidRDefault="00EB4394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</w:tc>
        <w:tc>
          <w:tcPr>
            <w:tcW w:w="2188" w:type="dxa"/>
          </w:tcPr>
          <w:p w14:paraId="6D98194F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Ensure disposal maintains principles of regulatory</w:t>
            </w:r>
            <w:r w:rsidR="005006FF">
              <w:rPr>
                <w:sz w:val="20"/>
              </w:rPr>
              <w:t>, propriety and value for money</w:t>
            </w:r>
          </w:p>
        </w:tc>
      </w:tr>
      <w:tr w:rsidR="00524DF1" w14:paraId="61515795" w14:textId="77777777" w:rsidTr="00524DF1">
        <w:tc>
          <w:tcPr>
            <w:tcW w:w="675" w:type="dxa"/>
            <w:vMerge/>
            <w:shd w:val="clear" w:color="auto" w:fill="56004E"/>
          </w:tcPr>
          <w:p w14:paraId="20CB8651" w14:textId="77777777" w:rsidR="00524DF1" w:rsidRDefault="00524DF1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3AEC9709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216B044C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£10,001 to £20,000</w:t>
            </w:r>
          </w:p>
        </w:tc>
        <w:tc>
          <w:tcPr>
            <w:tcW w:w="2268" w:type="dxa"/>
          </w:tcPr>
          <w:p w14:paraId="21908ACA" w14:textId="77777777" w:rsidR="00524DF1" w:rsidRPr="00524DF1" w:rsidRDefault="00524DF1" w:rsidP="0031476A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Finance Committee</w:t>
            </w:r>
          </w:p>
        </w:tc>
        <w:tc>
          <w:tcPr>
            <w:tcW w:w="2188" w:type="dxa"/>
          </w:tcPr>
          <w:p w14:paraId="41291D2E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24DF1" w14:paraId="227F3612" w14:textId="77777777" w:rsidTr="00524DF1">
        <w:tc>
          <w:tcPr>
            <w:tcW w:w="675" w:type="dxa"/>
            <w:vMerge/>
            <w:shd w:val="clear" w:color="auto" w:fill="56004E"/>
          </w:tcPr>
          <w:p w14:paraId="0899E239" w14:textId="77777777" w:rsidR="00524DF1" w:rsidRDefault="00524DF1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12885830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24DF1">
              <w:rPr>
                <w:b/>
                <w:color w:val="FFFFFF" w:themeColor="background1"/>
                <w:sz w:val="20"/>
              </w:rPr>
              <w:t>Disposing of heritage assets</w:t>
            </w:r>
          </w:p>
        </w:tc>
        <w:tc>
          <w:tcPr>
            <w:tcW w:w="1984" w:type="dxa"/>
          </w:tcPr>
          <w:p w14:paraId="13ABD4C0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420D7CC7" w14:textId="77777777" w:rsidR="00524DF1" w:rsidRPr="00524DF1" w:rsidRDefault="00524DF1" w:rsidP="005006FF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1A78AC85" w14:textId="77777777" w:rsidR="00524DF1" w:rsidRPr="00524DF1" w:rsidRDefault="00524DF1" w:rsidP="00EB4394">
            <w:pPr>
              <w:spacing w:before="120" w:after="120" w:line="276" w:lineRule="auto"/>
              <w:jc w:val="left"/>
              <w:rPr>
                <w:sz w:val="20"/>
              </w:rPr>
            </w:pPr>
            <w:r w:rsidRPr="00524DF1">
              <w:rPr>
                <w:sz w:val="20"/>
              </w:rPr>
              <w:t xml:space="preserve">See clause </w:t>
            </w:r>
            <w:r w:rsidR="00EB4394">
              <w:rPr>
                <w:sz w:val="20"/>
              </w:rPr>
              <w:t>3.8.1</w:t>
            </w:r>
            <w:r w:rsidRPr="00524DF1">
              <w:rPr>
                <w:sz w:val="20"/>
              </w:rPr>
              <w:t xml:space="preserve"> of the Academies Financial Handbook</w:t>
            </w:r>
          </w:p>
        </w:tc>
      </w:tr>
    </w:tbl>
    <w:p w14:paraId="054A1C85" w14:textId="77777777" w:rsidR="005006FF" w:rsidRDefault="005006F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268"/>
        <w:gridCol w:w="2188"/>
      </w:tblGrid>
      <w:tr w:rsidR="00CF6016" w14:paraId="50EBDEE2" w14:textId="77777777" w:rsidTr="00D8294B">
        <w:tc>
          <w:tcPr>
            <w:tcW w:w="675" w:type="dxa"/>
            <w:tcBorders>
              <w:top w:val="nil"/>
              <w:left w:val="nil"/>
            </w:tcBorders>
            <w:shd w:val="clear" w:color="auto" w:fill="auto"/>
          </w:tcPr>
          <w:p w14:paraId="0734D4D7" w14:textId="77777777" w:rsidR="00CF6016" w:rsidRPr="00505F35" w:rsidRDefault="00CF6016" w:rsidP="00847F9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2127" w:type="dxa"/>
            <w:shd w:val="clear" w:color="auto" w:fill="B20938"/>
          </w:tcPr>
          <w:p w14:paraId="10D5EA44" w14:textId="77777777" w:rsidR="00CF6016" w:rsidRPr="00627093" w:rsidRDefault="00CF6016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Duty</w:t>
            </w:r>
          </w:p>
        </w:tc>
        <w:tc>
          <w:tcPr>
            <w:tcW w:w="1984" w:type="dxa"/>
            <w:shd w:val="clear" w:color="auto" w:fill="B20938"/>
          </w:tcPr>
          <w:p w14:paraId="7988E1FB" w14:textId="77777777" w:rsidR="00CF6016" w:rsidRPr="00627093" w:rsidRDefault="00CF6016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Value</w:t>
            </w:r>
          </w:p>
        </w:tc>
        <w:tc>
          <w:tcPr>
            <w:tcW w:w="2268" w:type="dxa"/>
            <w:shd w:val="clear" w:color="auto" w:fill="B20938"/>
          </w:tcPr>
          <w:p w14:paraId="13524BA1" w14:textId="77777777" w:rsidR="00CF6016" w:rsidRPr="00627093" w:rsidRDefault="00CF6016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Delegated Authority</w:t>
            </w:r>
          </w:p>
        </w:tc>
        <w:tc>
          <w:tcPr>
            <w:tcW w:w="2188" w:type="dxa"/>
            <w:shd w:val="clear" w:color="auto" w:fill="B20938"/>
          </w:tcPr>
          <w:p w14:paraId="572C1343" w14:textId="77777777" w:rsidR="00CF6016" w:rsidRPr="00627093" w:rsidRDefault="00CF6016" w:rsidP="00847F9D">
            <w:pPr>
              <w:spacing w:before="120" w:line="276" w:lineRule="auto"/>
              <w:jc w:val="center"/>
              <w:rPr>
                <w:b/>
                <w:color w:val="FFFFFF" w:themeColor="background1"/>
              </w:rPr>
            </w:pPr>
            <w:r w:rsidRPr="00627093">
              <w:rPr>
                <w:b/>
                <w:color w:val="FFFFFF" w:themeColor="background1"/>
              </w:rPr>
              <w:t>Method</w:t>
            </w:r>
          </w:p>
        </w:tc>
      </w:tr>
      <w:tr w:rsidR="00CF6016" w14:paraId="5126A85C" w14:textId="77777777" w:rsidTr="00D8294B">
        <w:tc>
          <w:tcPr>
            <w:tcW w:w="675" w:type="dxa"/>
            <w:vMerge w:val="restart"/>
            <w:shd w:val="clear" w:color="auto" w:fill="56004E"/>
            <w:textDirection w:val="btLr"/>
          </w:tcPr>
          <w:p w14:paraId="03D27360" w14:textId="77777777" w:rsidR="00CF6016" w:rsidRPr="00CF6016" w:rsidRDefault="00CF6016" w:rsidP="00CF6016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CF6016">
              <w:rPr>
                <w:b/>
              </w:rPr>
              <w:t>WRITE-OFFS</w:t>
            </w:r>
          </w:p>
        </w:tc>
        <w:tc>
          <w:tcPr>
            <w:tcW w:w="2127" w:type="dxa"/>
            <w:shd w:val="clear" w:color="auto" w:fill="B9AB97"/>
          </w:tcPr>
          <w:p w14:paraId="3BA0D33C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D8294B">
              <w:rPr>
                <w:b/>
                <w:color w:val="FFFFFF" w:themeColor="background1"/>
                <w:sz w:val="20"/>
              </w:rPr>
              <w:t xml:space="preserve">Write </w:t>
            </w:r>
            <w:proofErr w:type="gramStart"/>
            <w:r w:rsidRPr="00D8294B">
              <w:rPr>
                <w:b/>
                <w:color w:val="FFFFFF" w:themeColor="background1"/>
                <w:sz w:val="20"/>
              </w:rPr>
              <w:t>off of</w:t>
            </w:r>
            <w:proofErr w:type="gramEnd"/>
            <w:r w:rsidRPr="00D8294B">
              <w:rPr>
                <w:b/>
                <w:color w:val="FFFFFF" w:themeColor="background1"/>
                <w:sz w:val="20"/>
              </w:rPr>
              <w:t xml:space="preserve"> Bad Debts/Losses/Disposal of Assets</w:t>
            </w:r>
          </w:p>
        </w:tc>
        <w:tc>
          <w:tcPr>
            <w:tcW w:w="1984" w:type="dxa"/>
          </w:tcPr>
          <w:p w14:paraId="23D488D4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Up to £1,000 per transaction</w:t>
            </w:r>
          </w:p>
        </w:tc>
        <w:tc>
          <w:tcPr>
            <w:tcW w:w="2268" w:type="dxa"/>
          </w:tcPr>
          <w:p w14:paraId="2B91F34D" w14:textId="77777777" w:rsidR="00CF6016" w:rsidRPr="00CF6016" w:rsidRDefault="00EB4394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</w:tc>
        <w:tc>
          <w:tcPr>
            <w:tcW w:w="2188" w:type="dxa"/>
          </w:tcPr>
          <w:p w14:paraId="192F92FD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CF6016" w14:paraId="1E890B39" w14:textId="77777777" w:rsidTr="00D8294B">
        <w:tc>
          <w:tcPr>
            <w:tcW w:w="675" w:type="dxa"/>
            <w:vMerge/>
            <w:shd w:val="clear" w:color="auto" w:fill="56004E"/>
          </w:tcPr>
          <w:p w14:paraId="5315B0F4" w14:textId="77777777" w:rsidR="00CF6016" w:rsidRDefault="00CF6016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02327130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642CEB2B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Over £1,000 and up to £45,000 per transaction</w:t>
            </w:r>
          </w:p>
        </w:tc>
        <w:tc>
          <w:tcPr>
            <w:tcW w:w="2268" w:type="dxa"/>
          </w:tcPr>
          <w:p w14:paraId="2A46BB53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768D1C71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CF6016" w14:paraId="55748D56" w14:textId="77777777" w:rsidTr="00D8294B">
        <w:tc>
          <w:tcPr>
            <w:tcW w:w="675" w:type="dxa"/>
            <w:vMerge/>
            <w:shd w:val="clear" w:color="auto" w:fill="56004E"/>
          </w:tcPr>
          <w:p w14:paraId="0A803A0A" w14:textId="77777777" w:rsidR="00CF6016" w:rsidRDefault="00CF6016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743F4B2D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3B33EA5E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Over £45,000</w:t>
            </w:r>
          </w:p>
        </w:tc>
        <w:tc>
          <w:tcPr>
            <w:tcW w:w="2268" w:type="dxa"/>
          </w:tcPr>
          <w:p w14:paraId="51B2FD13" w14:textId="77777777" w:rsidR="00CF6016" w:rsidRPr="00CF6016" w:rsidRDefault="00EB4394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ESFA</w:t>
            </w:r>
            <w:r w:rsidR="00CF6016" w:rsidRPr="00CF6016">
              <w:rPr>
                <w:sz w:val="20"/>
              </w:rPr>
              <w:t>/Secretary of State</w:t>
            </w:r>
          </w:p>
        </w:tc>
        <w:tc>
          <w:tcPr>
            <w:tcW w:w="2188" w:type="dxa"/>
          </w:tcPr>
          <w:p w14:paraId="5AA3B571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8F487B" w14:paraId="1DE52BDD" w14:textId="77777777" w:rsidTr="008F487B">
        <w:trPr>
          <w:trHeight w:val="87"/>
        </w:trPr>
        <w:tc>
          <w:tcPr>
            <w:tcW w:w="9242" w:type="dxa"/>
            <w:gridSpan w:val="5"/>
            <w:shd w:val="clear" w:color="auto" w:fill="B20938"/>
          </w:tcPr>
          <w:p w14:paraId="735EFB8C" w14:textId="77777777" w:rsidR="008F487B" w:rsidRPr="008F487B" w:rsidRDefault="008F487B" w:rsidP="008F487B">
            <w:pPr>
              <w:spacing w:line="276" w:lineRule="auto"/>
              <w:jc w:val="left"/>
              <w:rPr>
                <w:sz w:val="16"/>
              </w:rPr>
            </w:pPr>
          </w:p>
        </w:tc>
      </w:tr>
      <w:tr w:rsidR="00CF6016" w14:paraId="3CA20AD4" w14:textId="77777777" w:rsidTr="008F487B">
        <w:tc>
          <w:tcPr>
            <w:tcW w:w="675" w:type="dxa"/>
            <w:vMerge w:val="restart"/>
            <w:shd w:val="clear" w:color="auto" w:fill="56004E"/>
            <w:textDirection w:val="btLr"/>
          </w:tcPr>
          <w:p w14:paraId="7BD07674" w14:textId="77777777" w:rsidR="00CF6016" w:rsidRPr="008F487B" w:rsidRDefault="008F487B" w:rsidP="008F487B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8F487B">
              <w:rPr>
                <w:b/>
              </w:rPr>
              <w:t>LEASES</w:t>
            </w:r>
          </w:p>
        </w:tc>
        <w:tc>
          <w:tcPr>
            <w:tcW w:w="2127" w:type="dxa"/>
            <w:shd w:val="clear" w:color="auto" w:fill="B9AB97"/>
          </w:tcPr>
          <w:p w14:paraId="075D30B0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D8294B">
              <w:rPr>
                <w:b/>
                <w:color w:val="FFFFFF" w:themeColor="background1"/>
                <w:sz w:val="20"/>
              </w:rPr>
              <w:t>Finance Leases</w:t>
            </w:r>
          </w:p>
        </w:tc>
        <w:tc>
          <w:tcPr>
            <w:tcW w:w="1984" w:type="dxa"/>
          </w:tcPr>
          <w:p w14:paraId="1D217CD2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28BE5690" w14:textId="77777777" w:rsidR="00CF6016" w:rsidRPr="00CF6016" w:rsidRDefault="004E4B98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Trust Board and </w:t>
            </w:r>
            <w:r w:rsidR="00EB4394">
              <w:rPr>
                <w:sz w:val="20"/>
              </w:rPr>
              <w:t>ESFA</w:t>
            </w:r>
            <w:r w:rsidR="00CF6016" w:rsidRPr="00CF6016">
              <w:rPr>
                <w:sz w:val="20"/>
              </w:rPr>
              <w:t xml:space="preserve"> approval required</w:t>
            </w:r>
          </w:p>
        </w:tc>
        <w:tc>
          <w:tcPr>
            <w:tcW w:w="2188" w:type="dxa"/>
          </w:tcPr>
          <w:p w14:paraId="290B96B9" w14:textId="77777777" w:rsidR="00CF6016" w:rsidRPr="00CF6016" w:rsidRDefault="00CF6016" w:rsidP="00EB4394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 xml:space="preserve">See clause </w:t>
            </w:r>
            <w:r w:rsidR="00EB4394">
              <w:rPr>
                <w:sz w:val="20"/>
              </w:rPr>
              <w:t>3.4</w:t>
            </w:r>
            <w:r w:rsidRPr="00CF6016">
              <w:rPr>
                <w:sz w:val="20"/>
              </w:rPr>
              <w:t xml:space="preserve"> </w:t>
            </w:r>
            <w:r>
              <w:rPr>
                <w:sz w:val="20"/>
              </w:rPr>
              <w:t>of Academies Financial Handbook</w:t>
            </w:r>
          </w:p>
        </w:tc>
      </w:tr>
      <w:tr w:rsidR="00CF6016" w14:paraId="490225AC" w14:textId="77777777" w:rsidTr="00D8294B">
        <w:tc>
          <w:tcPr>
            <w:tcW w:w="675" w:type="dxa"/>
            <w:vMerge/>
            <w:shd w:val="clear" w:color="auto" w:fill="56004E"/>
          </w:tcPr>
          <w:p w14:paraId="2F8635C4" w14:textId="77777777" w:rsidR="00CF6016" w:rsidRDefault="00CF6016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4AC9765F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D8294B">
              <w:rPr>
                <w:b/>
                <w:color w:val="FFFFFF" w:themeColor="background1"/>
                <w:sz w:val="20"/>
              </w:rPr>
              <w:t>Purchase or sale of any freehold property</w:t>
            </w:r>
          </w:p>
        </w:tc>
        <w:tc>
          <w:tcPr>
            <w:tcW w:w="1984" w:type="dxa"/>
          </w:tcPr>
          <w:p w14:paraId="2DCEF002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76DA39DD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2CEADBE2" w14:textId="77777777" w:rsidR="00CF6016" w:rsidRPr="00CF6016" w:rsidRDefault="00CF6016" w:rsidP="00EB4394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 xml:space="preserve">See clause </w:t>
            </w:r>
            <w:r w:rsidR="00EB4394">
              <w:rPr>
                <w:sz w:val="20"/>
              </w:rPr>
              <w:t>3.8.1</w:t>
            </w:r>
            <w:r w:rsidRPr="00CF6016">
              <w:rPr>
                <w:sz w:val="20"/>
              </w:rPr>
              <w:t xml:space="preserve"> </w:t>
            </w:r>
            <w:r>
              <w:rPr>
                <w:sz w:val="20"/>
              </w:rPr>
              <w:t>of Academies Financial Handbook</w:t>
            </w:r>
          </w:p>
        </w:tc>
      </w:tr>
      <w:tr w:rsidR="00CF6016" w14:paraId="1933D168" w14:textId="77777777" w:rsidTr="00D8294B">
        <w:tc>
          <w:tcPr>
            <w:tcW w:w="675" w:type="dxa"/>
            <w:vMerge/>
            <w:shd w:val="clear" w:color="auto" w:fill="56004E"/>
          </w:tcPr>
          <w:p w14:paraId="726C16A4" w14:textId="77777777" w:rsidR="00CF6016" w:rsidRDefault="00CF6016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37AD85A5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D8294B">
              <w:rPr>
                <w:b/>
                <w:color w:val="FFFFFF" w:themeColor="background1"/>
                <w:sz w:val="20"/>
              </w:rPr>
              <w:t>Granting or take up of any leasehold or tenancy agreement exceeding five years</w:t>
            </w:r>
          </w:p>
        </w:tc>
        <w:tc>
          <w:tcPr>
            <w:tcW w:w="1984" w:type="dxa"/>
          </w:tcPr>
          <w:p w14:paraId="16ECCC5B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1568887E" w14:textId="77777777" w:rsidR="00CF6016" w:rsidRPr="00CF6016" w:rsidRDefault="004E4B98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Trust Board and </w:t>
            </w:r>
            <w:r w:rsidR="00EB4394">
              <w:rPr>
                <w:sz w:val="20"/>
              </w:rPr>
              <w:t>ESFA</w:t>
            </w:r>
            <w:r w:rsidR="00CF6016" w:rsidRPr="00CF6016">
              <w:rPr>
                <w:sz w:val="20"/>
              </w:rPr>
              <w:t xml:space="preserve"> approval required</w:t>
            </w:r>
          </w:p>
        </w:tc>
        <w:tc>
          <w:tcPr>
            <w:tcW w:w="2188" w:type="dxa"/>
          </w:tcPr>
          <w:p w14:paraId="6648FD8C" w14:textId="77777777" w:rsidR="00CF6016" w:rsidRPr="00CF6016" w:rsidRDefault="00CF6016" w:rsidP="00D8294B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 xml:space="preserve">See clause </w:t>
            </w:r>
            <w:r w:rsidR="00EB4394">
              <w:rPr>
                <w:sz w:val="20"/>
              </w:rPr>
              <w:t>3.8.1</w:t>
            </w:r>
            <w:r w:rsidR="00EB4394" w:rsidRPr="00CF6016">
              <w:rPr>
                <w:sz w:val="20"/>
              </w:rPr>
              <w:t xml:space="preserve"> </w:t>
            </w:r>
            <w:r w:rsidR="00D8294B">
              <w:rPr>
                <w:sz w:val="20"/>
              </w:rPr>
              <w:t>of Academies Financial Handbook</w:t>
            </w:r>
          </w:p>
        </w:tc>
      </w:tr>
      <w:tr w:rsidR="00CF6016" w14:paraId="50526759" w14:textId="77777777" w:rsidTr="00D8294B">
        <w:tc>
          <w:tcPr>
            <w:tcW w:w="675" w:type="dxa"/>
            <w:vMerge/>
            <w:shd w:val="clear" w:color="auto" w:fill="56004E"/>
          </w:tcPr>
          <w:p w14:paraId="73F54BAF" w14:textId="77777777" w:rsidR="00CF6016" w:rsidRDefault="00CF6016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24656EAA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D8294B">
              <w:rPr>
                <w:b/>
                <w:color w:val="FFFFFF" w:themeColor="background1"/>
                <w:sz w:val="20"/>
              </w:rPr>
              <w:t>Operating leases</w:t>
            </w:r>
          </w:p>
        </w:tc>
        <w:tc>
          <w:tcPr>
            <w:tcW w:w="1984" w:type="dxa"/>
          </w:tcPr>
          <w:p w14:paraId="62532D6C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Up to £10,000</w:t>
            </w:r>
          </w:p>
        </w:tc>
        <w:tc>
          <w:tcPr>
            <w:tcW w:w="2268" w:type="dxa"/>
          </w:tcPr>
          <w:p w14:paraId="2C0274E2" w14:textId="77777777" w:rsidR="00CF6016" w:rsidRPr="00CF6016" w:rsidRDefault="00EB4394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CFO</w:t>
            </w:r>
          </w:p>
        </w:tc>
        <w:tc>
          <w:tcPr>
            <w:tcW w:w="2188" w:type="dxa"/>
          </w:tcPr>
          <w:p w14:paraId="754AC41C" w14:textId="77777777" w:rsidR="00CF6016" w:rsidRPr="00CF6016" w:rsidRDefault="00CF6016" w:rsidP="00CF6016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CF6016" w14:paraId="66FAC9A0" w14:textId="77777777" w:rsidTr="00D8294B">
        <w:tc>
          <w:tcPr>
            <w:tcW w:w="675" w:type="dxa"/>
            <w:vMerge/>
            <w:shd w:val="clear" w:color="auto" w:fill="56004E"/>
          </w:tcPr>
          <w:p w14:paraId="0453A0DF" w14:textId="77777777" w:rsidR="00CF6016" w:rsidRDefault="00CF6016" w:rsidP="006C5D17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174F2ED5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53C44E1C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£10,001 to £20,000</w:t>
            </w:r>
          </w:p>
        </w:tc>
        <w:tc>
          <w:tcPr>
            <w:tcW w:w="2268" w:type="dxa"/>
          </w:tcPr>
          <w:p w14:paraId="2CF572DF" w14:textId="77777777" w:rsidR="00CF6016" w:rsidRPr="00CF6016" w:rsidRDefault="00CF6016" w:rsidP="0031476A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Finance Committee</w:t>
            </w:r>
          </w:p>
        </w:tc>
        <w:tc>
          <w:tcPr>
            <w:tcW w:w="2188" w:type="dxa"/>
          </w:tcPr>
          <w:p w14:paraId="5F44A1A9" w14:textId="77777777" w:rsidR="00CF6016" w:rsidRPr="00CF6016" w:rsidRDefault="00CF6016" w:rsidP="00CF6016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CF6016" w14:paraId="070752DE" w14:textId="77777777" w:rsidTr="00D8294B">
        <w:tc>
          <w:tcPr>
            <w:tcW w:w="675" w:type="dxa"/>
            <w:vMerge/>
            <w:shd w:val="clear" w:color="auto" w:fill="56004E"/>
          </w:tcPr>
          <w:p w14:paraId="3E15FB48" w14:textId="77777777" w:rsidR="00CF6016" w:rsidRDefault="00CF6016" w:rsidP="006C5D17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6C55D22B" w14:textId="77777777" w:rsidR="00CF6016" w:rsidRPr="00D8294B" w:rsidRDefault="00CF6016" w:rsidP="00CF6016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336CB3BB" w14:textId="77777777" w:rsidR="00CF6016" w:rsidRPr="00CF6016" w:rsidRDefault="00CF6016" w:rsidP="00CF6016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Over £20,000</w:t>
            </w:r>
          </w:p>
        </w:tc>
        <w:tc>
          <w:tcPr>
            <w:tcW w:w="2268" w:type="dxa"/>
          </w:tcPr>
          <w:p w14:paraId="6C37ED5D" w14:textId="77777777" w:rsidR="00CF6016" w:rsidRPr="00CF6016" w:rsidRDefault="00CF6016" w:rsidP="00D8294B">
            <w:pPr>
              <w:spacing w:before="120" w:after="120" w:line="276" w:lineRule="auto"/>
              <w:jc w:val="left"/>
              <w:rPr>
                <w:sz w:val="20"/>
              </w:rPr>
            </w:pPr>
            <w:r w:rsidRPr="00CF6016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389A0039" w14:textId="77777777" w:rsidR="00CF6016" w:rsidRPr="00CF6016" w:rsidRDefault="00CF6016" w:rsidP="00CF6016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5334D4" w14:paraId="67683C99" w14:textId="77777777" w:rsidTr="005334D4">
        <w:tc>
          <w:tcPr>
            <w:tcW w:w="9242" w:type="dxa"/>
            <w:gridSpan w:val="5"/>
            <w:shd w:val="clear" w:color="auto" w:fill="B20938"/>
          </w:tcPr>
          <w:p w14:paraId="3F02BF0D" w14:textId="77777777" w:rsidR="005334D4" w:rsidRPr="005334D4" w:rsidRDefault="005334D4" w:rsidP="006C5D17">
            <w:pPr>
              <w:spacing w:line="276" w:lineRule="auto"/>
              <w:jc w:val="left"/>
              <w:rPr>
                <w:b/>
                <w:sz w:val="16"/>
              </w:rPr>
            </w:pPr>
          </w:p>
        </w:tc>
      </w:tr>
      <w:tr w:rsidR="005334D4" w14:paraId="0992280F" w14:textId="77777777" w:rsidTr="005334D4">
        <w:tc>
          <w:tcPr>
            <w:tcW w:w="675" w:type="dxa"/>
            <w:vMerge w:val="restart"/>
            <w:shd w:val="clear" w:color="auto" w:fill="56004E"/>
            <w:textDirection w:val="btLr"/>
          </w:tcPr>
          <w:p w14:paraId="24E9A27C" w14:textId="77777777" w:rsidR="005334D4" w:rsidRPr="005334D4" w:rsidRDefault="005334D4" w:rsidP="005334D4">
            <w:pPr>
              <w:spacing w:before="120" w:line="276" w:lineRule="auto"/>
              <w:ind w:left="113" w:right="113"/>
              <w:jc w:val="center"/>
              <w:rPr>
                <w:b/>
              </w:rPr>
            </w:pPr>
            <w:r w:rsidRPr="005334D4">
              <w:rPr>
                <w:b/>
                <w:color w:val="FFFFFF" w:themeColor="background1"/>
              </w:rPr>
              <w:t>MISCELLANEOUS</w:t>
            </w:r>
          </w:p>
        </w:tc>
        <w:tc>
          <w:tcPr>
            <w:tcW w:w="2127" w:type="dxa"/>
            <w:shd w:val="clear" w:color="auto" w:fill="B9AB97"/>
          </w:tcPr>
          <w:p w14:paraId="320B2DEA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334D4">
              <w:rPr>
                <w:b/>
                <w:color w:val="FFFFFF" w:themeColor="background1"/>
                <w:sz w:val="20"/>
              </w:rPr>
              <w:t>Borrowing</w:t>
            </w:r>
          </w:p>
        </w:tc>
        <w:tc>
          <w:tcPr>
            <w:tcW w:w="1984" w:type="dxa"/>
          </w:tcPr>
          <w:p w14:paraId="71ED2CB1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>Any</w:t>
            </w:r>
          </w:p>
        </w:tc>
        <w:tc>
          <w:tcPr>
            <w:tcW w:w="2268" w:type="dxa"/>
          </w:tcPr>
          <w:p w14:paraId="32D87577" w14:textId="77777777" w:rsidR="005334D4" w:rsidRPr="005334D4" w:rsidRDefault="004E4B98" w:rsidP="004E4B98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Trust Board and </w:t>
            </w:r>
            <w:r w:rsidR="00EB4394">
              <w:rPr>
                <w:sz w:val="20"/>
              </w:rPr>
              <w:t>ESFA</w:t>
            </w:r>
            <w:r w:rsidR="005334D4" w:rsidRPr="005334D4">
              <w:rPr>
                <w:sz w:val="20"/>
              </w:rPr>
              <w:t xml:space="preserve"> approval required</w:t>
            </w:r>
          </w:p>
        </w:tc>
        <w:tc>
          <w:tcPr>
            <w:tcW w:w="2188" w:type="dxa"/>
          </w:tcPr>
          <w:p w14:paraId="351F371D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sz w:val="20"/>
              </w:rPr>
            </w:pPr>
          </w:p>
        </w:tc>
      </w:tr>
      <w:tr w:rsidR="005334D4" w14:paraId="50162BA7" w14:textId="77777777" w:rsidTr="005334D4">
        <w:tc>
          <w:tcPr>
            <w:tcW w:w="675" w:type="dxa"/>
            <w:vMerge/>
            <w:shd w:val="clear" w:color="auto" w:fill="56004E"/>
          </w:tcPr>
          <w:p w14:paraId="471776BB" w14:textId="77777777" w:rsidR="005334D4" w:rsidRDefault="005334D4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6A32AF02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  <w:r w:rsidRPr="005334D4">
              <w:rPr>
                <w:b/>
                <w:color w:val="FFFFFF" w:themeColor="background1"/>
                <w:sz w:val="20"/>
              </w:rPr>
              <w:br w:type="page"/>
              <w:t>Staff Severance payment or compensation</w:t>
            </w:r>
          </w:p>
        </w:tc>
        <w:tc>
          <w:tcPr>
            <w:tcW w:w="1984" w:type="dxa"/>
          </w:tcPr>
          <w:p w14:paraId="3570E014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>Non-statutory/non –contractual element, up to £50,000</w:t>
            </w:r>
          </w:p>
        </w:tc>
        <w:tc>
          <w:tcPr>
            <w:tcW w:w="2268" w:type="dxa"/>
          </w:tcPr>
          <w:p w14:paraId="46513EE0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>Trust Board</w:t>
            </w:r>
          </w:p>
        </w:tc>
        <w:tc>
          <w:tcPr>
            <w:tcW w:w="2188" w:type="dxa"/>
          </w:tcPr>
          <w:p w14:paraId="35E5E886" w14:textId="77777777" w:rsidR="005334D4" w:rsidRPr="005334D4" w:rsidRDefault="005334D4" w:rsidP="00EB439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 xml:space="preserve">See clause </w:t>
            </w:r>
            <w:r w:rsidR="00EB4394">
              <w:rPr>
                <w:sz w:val="20"/>
              </w:rPr>
              <w:t>3.7</w:t>
            </w:r>
            <w:r w:rsidRPr="005334D4">
              <w:rPr>
                <w:sz w:val="20"/>
              </w:rPr>
              <w:t xml:space="preserve"> </w:t>
            </w:r>
            <w:r>
              <w:rPr>
                <w:sz w:val="20"/>
              </w:rPr>
              <w:t>of Academies Financial Handbook</w:t>
            </w:r>
          </w:p>
        </w:tc>
      </w:tr>
      <w:tr w:rsidR="005334D4" w14:paraId="10E8FEBB" w14:textId="77777777" w:rsidTr="005334D4">
        <w:tc>
          <w:tcPr>
            <w:tcW w:w="675" w:type="dxa"/>
            <w:vMerge/>
            <w:shd w:val="clear" w:color="auto" w:fill="56004E"/>
          </w:tcPr>
          <w:p w14:paraId="7D9590BD" w14:textId="77777777" w:rsidR="005334D4" w:rsidRDefault="005334D4" w:rsidP="00505F35">
            <w:pPr>
              <w:spacing w:line="276" w:lineRule="auto"/>
              <w:jc w:val="left"/>
            </w:pPr>
          </w:p>
        </w:tc>
        <w:tc>
          <w:tcPr>
            <w:tcW w:w="2127" w:type="dxa"/>
            <w:shd w:val="clear" w:color="auto" w:fill="B9AB97"/>
          </w:tcPr>
          <w:p w14:paraId="6DDE9227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984" w:type="dxa"/>
          </w:tcPr>
          <w:p w14:paraId="0E99C6CD" w14:textId="77777777" w:rsidR="005334D4" w:rsidRPr="005334D4" w:rsidRDefault="005334D4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>Over £50,000</w:t>
            </w:r>
          </w:p>
        </w:tc>
        <w:tc>
          <w:tcPr>
            <w:tcW w:w="2268" w:type="dxa"/>
          </w:tcPr>
          <w:p w14:paraId="3C6C57DA" w14:textId="77777777" w:rsidR="005334D4" w:rsidRPr="005334D4" w:rsidRDefault="004E4B98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Trust Board and </w:t>
            </w:r>
            <w:r w:rsidR="00EB4394">
              <w:rPr>
                <w:sz w:val="20"/>
              </w:rPr>
              <w:t>ESFA</w:t>
            </w:r>
            <w:r w:rsidR="005334D4" w:rsidRPr="005334D4">
              <w:rPr>
                <w:sz w:val="20"/>
              </w:rPr>
              <w:t xml:space="preserve"> approval required</w:t>
            </w:r>
          </w:p>
        </w:tc>
        <w:tc>
          <w:tcPr>
            <w:tcW w:w="2188" w:type="dxa"/>
          </w:tcPr>
          <w:p w14:paraId="23731493" w14:textId="77777777" w:rsidR="005334D4" w:rsidRPr="005334D4" w:rsidRDefault="00EB4394" w:rsidP="005334D4">
            <w:pPr>
              <w:spacing w:before="120" w:after="120" w:line="276" w:lineRule="auto"/>
              <w:jc w:val="left"/>
              <w:rPr>
                <w:sz w:val="20"/>
              </w:rPr>
            </w:pPr>
            <w:r w:rsidRPr="005334D4">
              <w:rPr>
                <w:sz w:val="20"/>
              </w:rPr>
              <w:t xml:space="preserve">See clause </w:t>
            </w:r>
            <w:r>
              <w:rPr>
                <w:sz w:val="20"/>
              </w:rPr>
              <w:t>3.7.6</w:t>
            </w:r>
            <w:r w:rsidRPr="005334D4">
              <w:rPr>
                <w:sz w:val="20"/>
              </w:rPr>
              <w:t xml:space="preserve"> </w:t>
            </w:r>
            <w:r>
              <w:rPr>
                <w:sz w:val="20"/>
              </w:rPr>
              <w:t>of Academies Financial Handbook</w:t>
            </w:r>
          </w:p>
        </w:tc>
      </w:tr>
    </w:tbl>
    <w:p w14:paraId="55810FAB" w14:textId="77777777" w:rsidR="00505F35" w:rsidRPr="009C155C" w:rsidRDefault="00505F35" w:rsidP="00156CB8">
      <w:pPr>
        <w:spacing w:after="240" w:line="276" w:lineRule="auto"/>
        <w:jc w:val="left"/>
      </w:pPr>
    </w:p>
    <w:sectPr w:rsidR="00505F35" w:rsidRPr="009C155C" w:rsidSect="00505F35">
      <w:pgSz w:w="11906" w:h="16838" w:code="9"/>
      <w:pgMar w:top="1440" w:right="1440" w:bottom="1440" w:left="1440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019B" w14:textId="77777777" w:rsidR="00373501" w:rsidRDefault="00373501" w:rsidP="009C155C">
      <w:r>
        <w:separator/>
      </w:r>
    </w:p>
  </w:endnote>
  <w:endnote w:type="continuationSeparator" w:id="0">
    <w:p w14:paraId="4D11BE0E" w14:textId="77777777" w:rsidR="00373501" w:rsidRDefault="00373501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uisiana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7228C" w14:textId="77777777" w:rsidR="009E466A" w:rsidRDefault="009E4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0068" w14:textId="77777777" w:rsidR="00011C48" w:rsidRDefault="006044D5">
    <w:pPr>
      <w:pStyle w:val="Footer"/>
    </w:pPr>
    <w:r>
      <w:rPr>
        <w:noProof/>
        <w:lang w:eastAsia="en-GB" w:bidi="he-IL"/>
      </w:rPr>
      <w:object w:dxaOrig="1440" w:dyaOrig="1440" w14:anchorId="7A1EE3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6" type="#_x0000_t75" style="position:absolute;left:0;text-align:left;margin-left:227.65pt;margin-top:251.5pt;width:53.9pt;height:35.5pt;z-index:251660288">
          <v:imagedata r:id="rId1" o:title=""/>
        </v:shape>
        <o:OLEObject Type="Embed" ProgID="PBrush" ShapeID="_x0000_s8196" DrawAspect="Content" ObjectID="_1793354263" r:id="rId2"/>
      </w:object>
    </w:r>
    <w:r>
      <w:rPr>
        <w:noProof/>
        <w:lang w:eastAsia="en-GB" w:bidi="he-IL"/>
      </w:rPr>
      <w:object w:dxaOrig="1440" w:dyaOrig="1440" w14:anchorId="0E1C6DAD">
        <v:shape id="_x0000_s8195" type="#_x0000_t75" style="position:absolute;left:0;text-align:left;margin-left:209.15pt;margin-top:246.5pt;width:53.9pt;height:35.5pt;z-index:251659264">
          <v:imagedata r:id="rId1" o:title=""/>
        </v:shape>
        <o:OLEObject Type="Embed" ProgID="PBrush" ShapeID="_x0000_s8195" DrawAspect="Content" ObjectID="_1793354264" r:id="rId3"/>
      </w:object>
    </w:r>
  </w:p>
  <w:p w14:paraId="1EEC6B5A" w14:textId="77777777" w:rsidR="009C155C" w:rsidRDefault="006044D5" w:rsidP="00B27D57">
    <w:pPr>
      <w:pStyle w:val="Footer"/>
      <w:tabs>
        <w:tab w:val="clear" w:pos="9026"/>
      </w:tabs>
    </w:pPr>
    <w:r>
      <w:rPr>
        <w:noProof/>
        <w:lang w:eastAsia="en-GB" w:bidi="he-IL"/>
      </w:rPr>
      <w:object w:dxaOrig="1440" w:dyaOrig="1440" w14:anchorId="73A82B89">
        <v:shape id="_x0000_s8204" type="#_x0000_t75" style="position:absolute;left:0;text-align:left;margin-left:321.95pt;margin-top:143.7pt;width:53.9pt;height:35.5pt;z-index:251668480">
          <v:imagedata r:id="rId1" o:title=""/>
        </v:shape>
        <o:OLEObject Type="Embed" ProgID="PBrush" ShapeID="_x0000_s8204" DrawAspect="Content" ObjectID="_1793354265" r:id="rId4"/>
      </w:object>
    </w:r>
    <w:r>
      <w:rPr>
        <w:noProof/>
        <w:lang w:eastAsia="en-GB" w:bidi="he-IL"/>
      </w:rPr>
      <w:object w:dxaOrig="1440" w:dyaOrig="1440" w14:anchorId="159B0EA0">
        <v:shape id="_x0000_s8203" type="#_x0000_t75" style="position:absolute;left:0;text-align:left;margin-left:444.5pt;margin-top:223.7pt;width:53.9pt;height:35.5pt;z-index:251667456">
          <v:imagedata r:id="rId1" o:title=""/>
        </v:shape>
        <o:OLEObject Type="Embed" ProgID="PBrush" ShapeID="_x0000_s8203" DrawAspect="Content" ObjectID="_1793354266" r:id="rId5"/>
      </w:object>
    </w:r>
    <w:r>
      <w:rPr>
        <w:noProof/>
        <w:lang w:eastAsia="en-GB" w:bidi="he-IL"/>
      </w:rPr>
      <w:object w:dxaOrig="1440" w:dyaOrig="1440" w14:anchorId="788CBA4E">
        <v:shape id="_x0000_s8202" type="#_x0000_t75" style="position:absolute;left:0;text-align:left;margin-left:427.85pt;margin-top:238.7pt;width:70.55pt;height:46.45pt;z-index:251666432">
          <v:imagedata r:id="rId1" o:title=""/>
        </v:shape>
        <o:OLEObject Type="Embed" ProgID="PBrush" ShapeID="_x0000_s8202" DrawAspect="Content" ObjectID="_1793354267" r:id="rId6"/>
      </w:object>
    </w:r>
    <w:r>
      <w:rPr>
        <w:noProof/>
        <w:lang w:eastAsia="en-GB" w:bidi="he-IL"/>
      </w:rPr>
      <w:object w:dxaOrig="1440" w:dyaOrig="1440" w14:anchorId="49D44CA7">
        <v:shape id="_x0000_s8201" type="#_x0000_t75" style="position:absolute;left:0;text-align:left;margin-left:444.5pt;margin-top:223.7pt;width:53.9pt;height:35.5pt;z-index:251665408">
          <v:imagedata r:id="rId1" o:title=""/>
        </v:shape>
        <o:OLEObject Type="Embed" ProgID="PBrush" ShapeID="_x0000_s8201" DrawAspect="Content" ObjectID="_1793354268" r:id="rId7"/>
      </w:object>
    </w:r>
    <w:r>
      <w:rPr>
        <w:noProof/>
        <w:lang w:eastAsia="en-GB" w:bidi="he-IL"/>
      </w:rPr>
      <w:object w:dxaOrig="1440" w:dyaOrig="1440" w14:anchorId="708D887E">
        <v:shape id="_x0000_s8200" type="#_x0000_t75" style="position:absolute;left:0;text-align:left;margin-left:315.65pt;margin-top:137.2pt;width:53.9pt;height:35.5pt;z-index:251664384">
          <v:imagedata r:id="rId1" o:title=""/>
        </v:shape>
        <o:OLEObject Type="Embed" ProgID="PBrush" ShapeID="_x0000_s8200" DrawAspect="Content" ObjectID="_1793354269" r:id="rId8"/>
      </w:object>
    </w:r>
    <w:r>
      <w:rPr>
        <w:noProof/>
        <w:lang w:eastAsia="en-GB" w:bidi="he-IL"/>
      </w:rPr>
      <w:object w:dxaOrig="1440" w:dyaOrig="1440" w14:anchorId="00BA4436">
        <v:shape id="_x0000_s8199" type="#_x0000_t75" style="position:absolute;left:0;text-align:left;margin-left:411.15pt;margin-top:214.7pt;width:53.9pt;height:35.5pt;z-index:251663360">
          <v:imagedata r:id="rId1" o:title=""/>
        </v:shape>
        <o:OLEObject Type="Embed" ProgID="PBrush" ShapeID="_x0000_s8199" DrawAspect="Content" ObjectID="_1793354270" r:id="rId9"/>
      </w:object>
    </w:r>
    <w:r>
      <w:rPr>
        <w:noProof/>
        <w:lang w:eastAsia="en-GB" w:bidi="he-IL"/>
      </w:rPr>
      <w:object w:dxaOrig="1440" w:dyaOrig="1440" w14:anchorId="04D7779B">
        <v:shape id="_x0000_s8198" type="#_x0000_t75" style="position:absolute;left:0;text-align:left;margin-left:575.45pt;margin-top:238.7pt;width:77pt;height:53.4pt;z-index:251662336">
          <v:imagedata r:id="rId1" o:title=""/>
        </v:shape>
        <o:OLEObject Type="Embed" ProgID="PBrush" ShapeID="_x0000_s8198" DrawAspect="Content" ObjectID="_1793354271" r:id="rId10"/>
      </w:object>
    </w:r>
    <w:r>
      <w:rPr>
        <w:noProof/>
        <w:lang w:eastAsia="en-GB" w:bidi="he-IL"/>
      </w:rPr>
      <w:object w:dxaOrig="1440" w:dyaOrig="1440" w14:anchorId="59141A53">
        <v:shape id="_x0000_s8197" type="#_x0000_t75" style="position:absolute;left:0;text-align:left;margin-left:343.65pt;margin-top:179.2pt;width:53.9pt;height:35.5pt;z-index:251661312">
          <v:imagedata r:id="rId1" o:title=""/>
        </v:shape>
        <o:OLEObject Type="Embed" ProgID="PBrush" ShapeID="_x0000_s8197" DrawAspect="Content" ObjectID="_1793354272" r:id="rId11"/>
      </w:object>
    </w:r>
    <w:r>
      <w:rPr>
        <w:noProof/>
        <w:lang w:eastAsia="en-GB" w:bidi="he-IL"/>
      </w:rPr>
      <w:object w:dxaOrig="1440" w:dyaOrig="1440" w14:anchorId="7342BD25">
        <v:shape id="_x0000_s8193" type="#_x0000_t75" style="position:absolute;left:0;text-align:left;margin-left:566.65pt;margin-top:253.7pt;width:53.9pt;height:35.5pt;z-index:251658240">
          <v:imagedata r:id="rId1" o:title=""/>
        </v:shape>
        <o:OLEObject Type="Embed" ProgID="PBrush" ShapeID="_x0000_s8193" DrawAspect="Content" ObjectID="_1793354273" r:id="rId12"/>
      </w:object>
    </w:r>
    <w:r w:rsidR="00B27D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747A" w14:textId="77777777" w:rsidR="009E466A" w:rsidRDefault="009E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2B18" w14:textId="77777777" w:rsidR="00373501" w:rsidRDefault="00373501" w:rsidP="009C155C">
      <w:r>
        <w:separator/>
      </w:r>
    </w:p>
  </w:footnote>
  <w:footnote w:type="continuationSeparator" w:id="0">
    <w:p w14:paraId="2332317B" w14:textId="77777777" w:rsidR="00373501" w:rsidRDefault="00373501" w:rsidP="009C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83C0E" w14:textId="77777777" w:rsidR="009E466A" w:rsidRDefault="009E4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2C01" w14:textId="2587941B" w:rsidR="0047678D" w:rsidRDefault="00476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FFF3" w14:textId="77777777" w:rsidR="009E466A" w:rsidRDefault="009E4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D4E"/>
    <w:multiLevelType w:val="multilevel"/>
    <w:tmpl w:val="C1CC2486"/>
    <w:styleLink w:val="Bullets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A777CC"/>
    <w:multiLevelType w:val="multilevel"/>
    <w:tmpl w:val="6E72AD08"/>
    <w:lvl w:ilvl="0">
      <w:start w:val="1"/>
      <w:numFmt w:val="decimal"/>
      <w:pStyle w:val="Schedule"/>
      <w:lvlText w:val="Schedule 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6183"/>
        </w:tabs>
        <w:ind w:left="5957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7034"/>
        </w:tabs>
        <w:ind w:left="6808" w:hanging="85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7885"/>
        </w:tabs>
        <w:ind w:left="7659" w:hanging="851"/>
      </w:pPr>
      <w:rPr>
        <w:rFonts w:hint="default"/>
      </w:rPr>
    </w:lvl>
  </w:abstractNum>
  <w:abstractNum w:abstractNumId="2" w15:restartNumberingAfterBreak="0">
    <w:nsid w:val="0BB668AC"/>
    <w:multiLevelType w:val="multilevel"/>
    <w:tmpl w:val="DF488282"/>
    <w:styleLink w:val="MainNumbering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2F299B"/>
    <w:multiLevelType w:val="multilevel"/>
    <w:tmpl w:val="072CA714"/>
    <w:lvl w:ilvl="0">
      <w:start w:val="1"/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D49FD"/>
    <w:multiLevelType w:val="hybridMultilevel"/>
    <w:tmpl w:val="471C534A"/>
    <w:lvl w:ilvl="0" w:tplc="4BA44988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32E8"/>
    <w:multiLevelType w:val="multilevel"/>
    <w:tmpl w:val="B370680C"/>
    <w:lvl w:ilvl="0">
      <w:start w:val="1"/>
      <w:numFmt w:val="decimal"/>
      <w:pStyle w:val="Parties1"/>
      <w:lvlText w:val="(%1)"/>
      <w:lvlJc w:val="left"/>
      <w:pPr>
        <w:ind w:left="851" w:hanging="851"/>
      </w:pPr>
      <w:rPr>
        <w:rFonts w:asciiTheme="majorHAnsi" w:hAnsiTheme="majorHAnsi" w:hint="default"/>
      </w:rPr>
    </w:lvl>
    <w:lvl w:ilvl="1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0842EC3"/>
    <w:multiLevelType w:val="multilevel"/>
    <w:tmpl w:val="2F5C4F62"/>
    <w:lvl w:ilvl="0">
      <w:start w:val="1"/>
      <w:numFmt w:val="decimal"/>
      <w:pStyle w:val="Appendix"/>
      <w:lvlText w:val="Appendix %1"/>
      <w:lvlJc w:val="left"/>
      <w:pPr>
        <w:ind w:left="2160" w:hanging="2160"/>
      </w:pPr>
      <w:rPr>
        <w:rFonts w:ascii="Trebuchet MS" w:hAnsi="Trebuchet MS" w:hint="default"/>
        <w:b/>
        <w:sz w:val="28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7" w15:restartNumberingAfterBreak="0">
    <w:nsid w:val="20A521C8"/>
    <w:multiLevelType w:val="multilevel"/>
    <w:tmpl w:val="17C43B60"/>
    <w:lvl w:ilvl="0">
      <w:start w:val="1"/>
      <w:numFmt w:val="decimal"/>
      <w:pStyle w:val="NumberLevel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8" w15:restartNumberingAfterBreak="0">
    <w:nsid w:val="26931F39"/>
    <w:multiLevelType w:val="multilevel"/>
    <w:tmpl w:val="0DA61656"/>
    <w:styleLink w:val="Partie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asciiTheme="majorHAnsi" w:hAnsiTheme="majorHAnsi" w:hint="default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74C4528"/>
    <w:multiLevelType w:val="multilevel"/>
    <w:tmpl w:val="66402324"/>
    <w:styleLink w:val="Defini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2E274C"/>
    <w:multiLevelType w:val="multilevel"/>
    <w:tmpl w:val="72989408"/>
    <w:styleLink w:val="AppendixHeading"/>
    <w:lvl w:ilvl="0">
      <w:start w:val="1"/>
      <w:numFmt w:val="decimal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1" w15:restartNumberingAfterBreak="0">
    <w:nsid w:val="3E6A1733"/>
    <w:multiLevelType w:val="hybridMultilevel"/>
    <w:tmpl w:val="7A4C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83CC1"/>
    <w:multiLevelType w:val="multilevel"/>
    <w:tmpl w:val="DA66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AmendableLevel4"/>
      <w:lvlText w:val="%1.%2.%3.%4."/>
      <w:lvlJc w:val="left"/>
      <w:pPr>
        <w:ind w:left="3238" w:hanging="1078"/>
      </w:pPr>
      <w:rPr>
        <w:rFonts w:hint="default"/>
      </w:rPr>
    </w:lvl>
    <w:lvl w:ilvl="4">
      <w:start w:val="1"/>
      <w:numFmt w:val="decimal"/>
      <w:pStyle w:val="AmendableLevel5"/>
      <w:lvlText w:val="%1.%2.%3.%4.%5."/>
      <w:lvlJc w:val="left"/>
      <w:pPr>
        <w:ind w:left="4315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8E32A3"/>
    <w:multiLevelType w:val="multilevel"/>
    <w:tmpl w:val="6C8CD2A0"/>
    <w:styleLink w:val="ScheduleNumbering"/>
    <w:lvl w:ilvl="0">
      <w:start w:val="1"/>
      <w:numFmt w:val="decimal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44" w:hanging="3544"/>
      </w:pPr>
      <w:rPr>
        <w:rFonts w:hint="default"/>
      </w:rPr>
    </w:lvl>
  </w:abstractNum>
  <w:abstractNum w:abstractNumId="14" w15:restartNumberingAfterBreak="0">
    <w:nsid w:val="54214454"/>
    <w:multiLevelType w:val="hybridMultilevel"/>
    <w:tmpl w:val="3510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64135"/>
    <w:multiLevelType w:val="multilevel"/>
    <w:tmpl w:val="7448935E"/>
    <w:lvl w:ilvl="0">
      <w:start w:val="1"/>
      <w:numFmt w:val="decimal"/>
      <w:pStyle w:val="HeadingLevel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6" w15:restartNumberingAfterBreak="0">
    <w:nsid w:val="5F6C74A7"/>
    <w:multiLevelType w:val="multilevel"/>
    <w:tmpl w:val="21EEF76A"/>
    <w:styleLink w:val="Parties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</w:rPr>
    </w:lvl>
    <w:lvl w:ilvl="1">
      <w:start w:val="1"/>
      <w:numFmt w:val="none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101A55"/>
    <w:multiLevelType w:val="hybridMultilevel"/>
    <w:tmpl w:val="CBD68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D45E4"/>
    <w:multiLevelType w:val="multilevel"/>
    <w:tmpl w:val="4FACCDCA"/>
    <w:lvl w:ilvl="0">
      <w:start w:val="1"/>
      <w:numFmt w:val="decimal"/>
      <w:pStyle w:val="Amendable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AmendableLevel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AmendableLevel3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D818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5615293">
    <w:abstractNumId w:val="6"/>
  </w:num>
  <w:num w:numId="2" w16cid:durableId="866912156">
    <w:abstractNumId w:val="10"/>
  </w:num>
  <w:num w:numId="3" w16cid:durableId="1290085080">
    <w:abstractNumId w:val="3"/>
  </w:num>
  <w:num w:numId="4" w16cid:durableId="1605920654">
    <w:abstractNumId w:val="0"/>
  </w:num>
  <w:num w:numId="5" w16cid:durableId="1352142347">
    <w:abstractNumId w:val="4"/>
  </w:num>
  <w:num w:numId="6" w16cid:durableId="898441164">
    <w:abstractNumId w:val="9"/>
  </w:num>
  <w:num w:numId="7" w16cid:durableId="153493751">
    <w:abstractNumId w:val="15"/>
  </w:num>
  <w:num w:numId="8" w16cid:durableId="1908882164">
    <w:abstractNumId w:val="2"/>
  </w:num>
  <w:num w:numId="9" w16cid:durableId="1669211575">
    <w:abstractNumId w:val="7"/>
  </w:num>
  <w:num w:numId="10" w16cid:durableId="1596085504">
    <w:abstractNumId w:val="16"/>
  </w:num>
  <w:num w:numId="11" w16cid:durableId="923032800">
    <w:abstractNumId w:val="5"/>
  </w:num>
  <w:num w:numId="12" w16cid:durableId="199899879">
    <w:abstractNumId w:val="8"/>
  </w:num>
  <w:num w:numId="13" w16cid:durableId="250628574">
    <w:abstractNumId w:val="1"/>
  </w:num>
  <w:num w:numId="14" w16cid:durableId="1505390683">
    <w:abstractNumId w:val="13"/>
  </w:num>
  <w:num w:numId="15" w16cid:durableId="1120148746">
    <w:abstractNumId w:val="18"/>
  </w:num>
  <w:num w:numId="16" w16cid:durableId="1529684055">
    <w:abstractNumId w:val="19"/>
  </w:num>
  <w:num w:numId="17" w16cid:durableId="329872710">
    <w:abstractNumId w:val="12"/>
  </w:num>
  <w:num w:numId="18" w16cid:durableId="1686790179">
    <w:abstractNumId w:val="14"/>
  </w:num>
  <w:num w:numId="19" w16cid:durableId="177233599">
    <w:abstractNumId w:val="17"/>
  </w:num>
  <w:num w:numId="20" w16cid:durableId="19138405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820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CultureID" w:val="EnglishUK"/>
    <w:docVar w:name="TMS_OfficeID" w:val="Birmingham"/>
    <w:docVar w:name="TMS_TEMPLATE_ID" w:val="BlankShared"/>
  </w:docVars>
  <w:rsids>
    <w:rsidRoot w:val="0047678D"/>
    <w:rsid w:val="00011C48"/>
    <w:rsid w:val="0003375D"/>
    <w:rsid w:val="00044868"/>
    <w:rsid w:val="000457A6"/>
    <w:rsid w:val="0007307D"/>
    <w:rsid w:val="000A18C5"/>
    <w:rsid w:val="000C0FCE"/>
    <w:rsid w:val="000C2DF0"/>
    <w:rsid w:val="000E5353"/>
    <w:rsid w:val="000F4A64"/>
    <w:rsid w:val="00115547"/>
    <w:rsid w:val="00134CBC"/>
    <w:rsid w:val="00141598"/>
    <w:rsid w:val="00155CCE"/>
    <w:rsid w:val="00156CB8"/>
    <w:rsid w:val="00180850"/>
    <w:rsid w:val="00190574"/>
    <w:rsid w:val="001A5BD2"/>
    <w:rsid w:val="001B5850"/>
    <w:rsid w:val="001D3FEB"/>
    <w:rsid w:val="001F7210"/>
    <w:rsid w:val="0020068E"/>
    <w:rsid w:val="00230080"/>
    <w:rsid w:val="00266ACA"/>
    <w:rsid w:val="002F549D"/>
    <w:rsid w:val="0031476A"/>
    <w:rsid w:val="00347155"/>
    <w:rsid w:val="00357625"/>
    <w:rsid w:val="00360E99"/>
    <w:rsid w:val="0036443F"/>
    <w:rsid w:val="00366C10"/>
    <w:rsid w:val="00367794"/>
    <w:rsid w:val="00373501"/>
    <w:rsid w:val="0037744F"/>
    <w:rsid w:val="00390568"/>
    <w:rsid w:val="00394471"/>
    <w:rsid w:val="003A7F6A"/>
    <w:rsid w:val="003E79C3"/>
    <w:rsid w:val="004228EA"/>
    <w:rsid w:val="00425E7E"/>
    <w:rsid w:val="004446F2"/>
    <w:rsid w:val="00457D3C"/>
    <w:rsid w:val="00467C72"/>
    <w:rsid w:val="0047678D"/>
    <w:rsid w:val="00482634"/>
    <w:rsid w:val="004B2924"/>
    <w:rsid w:val="004C64E4"/>
    <w:rsid w:val="004D6442"/>
    <w:rsid w:val="004E2A95"/>
    <w:rsid w:val="004E4B98"/>
    <w:rsid w:val="004F681F"/>
    <w:rsid w:val="005006FF"/>
    <w:rsid w:val="00502125"/>
    <w:rsid w:val="00503025"/>
    <w:rsid w:val="00505F35"/>
    <w:rsid w:val="00524DF1"/>
    <w:rsid w:val="005334D4"/>
    <w:rsid w:val="005416DB"/>
    <w:rsid w:val="00553EAE"/>
    <w:rsid w:val="00595150"/>
    <w:rsid w:val="00595BAE"/>
    <w:rsid w:val="005A0E8A"/>
    <w:rsid w:val="005B7F96"/>
    <w:rsid w:val="005F3A05"/>
    <w:rsid w:val="006044D5"/>
    <w:rsid w:val="00627093"/>
    <w:rsid w:val="006631B9"/>
    <w:rsid w:val="00664E6B"/>
    <w:rsid w:val="00675611"/>
    <w:rsid w:val="00681105"/>
    <w:rsid w:val="006A17F4"/>
    <w:rsid w:val="006A3EB2"/>
    <w:rsid w:val="007031D5"/>
    <w:rsid w:val="007133C9"/>
    <w:rsid w:val="0076067B"/>
    <w:rsid w:val="007716B6"/>
    <w:rsid w:val="007A7F69"/>
    <w:rsid w:val="007B740F"/>
    <w:rsid w:val="007C4508"/>
    <w:rsid w:val="00820AE8"/>
    <w:rsid w:val="00856A08"/>
    <w:rsid w:val="008D30C9"/>
    <w:rsid w:val="008F3AA3"/>
    <w:rsid w:val="008F487B"/>
    <w:rsid w:val="008F6699"/>
    <w:rsid w:val="00900C77"/>
    <w:rsid w:val="00914405"/>
    <w:rsid w:val="00933FB2"/>
    <w:rsid w:val="00954379"/>
    <w:rsid w:val="009839C0"/>
    <w:rsid w:val="00990DCA"/>
    <w:rsid w:val="00991F48"/>
    <w:rsid w:val="009A35C7"/>
    <w:rsid w:val="009B523D"/>
    <w:rsid w:val="009C155C"/>
    <w:rsid w:val="009C1E29"/>
    <w:rsid w:val="009C2B2B"/>
    <w:rsid w:val="009C4802"/>
    <w:rsid w:val="009E466A"/>
    <w:rsid w:val="009F625C"/>
    <w:rsid w:val="00A03787"/>
    <w:rsid w:val="00A7101F"/>
    <w:rsid w:val="00A87DEF"/>
    <w:rsid w:val="00A96E1B"/>
    <w:rsid w:val="00AA56DC"/>
    <w:rsid w:val="00B00D0D"/>
    <w:rsid w:val="00B26CC7"/>
    <w:rsid w:val="00B27D57"/>
    <w:rsid w:val="00B5686D"/>
    <w:rsid w:val="00BB0BEB"/>
    <w:rsid w:val="00BC0BCD"/>
    <w:rsid w:val="00BF1F29"/>
    <w:rsid w:val="00C25C68"/>
    <w:rsid w:val="00C301C6"/>
    <w:rsid w:val="00C40C1A"/>
    <w:rsid w:val="00C4206C"/>
    <w:rsid w:val="00C74702"/>
    <w:rsid w:val="00CA21B3"/>
    <w:rsid w:val="00CB12C2"/>
    <w:rsid w:val="00CD626C"/>
    <w:rsid w:val="00CF6016"/>
    <w:rsid w:val="00D057A7"/>
    <w:rsid w:val="00D13497"/>
    <w:rsid w:val="00D25F32"/>
    <w:rsid w:val="00D51EA6"/>
    <w:rsid w:val="00D8294B"/>
    <w:rsid w:val="00DA005E"/>
    <w:rsid w:val="00DA27AC"/>
    <w:rsid w:val="00DB0719"/>
    <w:rsid w:val="00DE2C68"/>
    <w:rsid w:val="00E03568"/>
    <w:rsid w:val="00E1301E"/>
    <w:rsid w:val="00EA4ECA"/>
    <w:rsid w:val="00EB4394"/>
    <w:rsid w:val="00ED6049"/>
    <w:rsid w:val="00ED6DB3"/>
    <w:rsid w:val="00F12F24"/>
    <w:rsid w:val="00F33506"/>
    <w:rsid w:val="00F75CC4"/>
    <w:rsid w:val="00F85ADB"/>
    <w:rsid w:val="00FA6927"/>
    <w:rsid w:val="00FC3871"/>
    <w:rsid w:val="00FD1C97"/>
    <w:rsid w:val="00FD3F7B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5"/>
    <o:shapelayout v:ext="edit">
      <o:idmap v:ext="edit" data="1"/>
    </o:shapelayout>
  </w:shapeDefaults>
  <w:decimalSymbol w:val="."/>
  <w:listSeparator w:val=","/>
  <w14:docId w14:val="0B45BE81"/>
  <w15:docId w15:val="{827B7E64-921C-44D0-8899-68003A7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79" w:qFormat="1"/>
    <w:lsdException w:name="heading 1" w:uiPriority="8" w:qFormat="1"/>
    <w:lsdException w:name="heading 2" w:uiPriority="8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semiHidden="1" w:uiPriority="49" w:unhideWhenUsed="1" w:qFormat="1"/>
    <w:lsdException w:name="Book Title" w:semiHidden="1" w:uiPriority="49" w:unhideWhenUsed="1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0"/>
    <w:qFormat/>
    <w:rsid w:val="009B523D"/>
    <w:pPr>
      <w:spacing w:after="0" w:line="240" w:lineRule="auto"/>
      <w:jc w:val="both"/>
    </w:pPr>
    <w:rPr>
      <w:sz w:val="22"/>
    </w:rPr>
  </w:style>
  <w:style w:type="paragraph" w:styleId="Heading1">
    <w:name w:val="heading 1"/>
    <w:aliases w:val="Heading"/>
    <w:basedOn w:val="Normal"/>
    <w:next w:val="BodyText"/>
    <w:link w:val="Heading1Char"/>
    <w:uiPriority w:val="8"/>
    <w:qFormat/>
    <w:rsid w:val="00367794"/>
    <w:pPr>
      <w:keepNext/>
      <w:keepLines/>
      <w:spacing w:after="240"/>
      <w:contextualSpacing/>
      <w:outlineLvl w:val="0"/>
    </w:pPr>
    <w:rPr>
      <w:rFonts w:ascii="Trebuchet MS" w:eastAsiaTheme="majorEastAsia" w:hAnsi="Trebuchet MS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uiPriority w:val="8"/>
    <w:qFormat/>
    <w:rsid w:val="00503025"/>
    <w:pPr>
      <w:keepNext/>
      <w:keepLines/>
      <w:spacing w:after="240"/>
      <w:outlineLvl w:val="1"/>
    </w:pPr>
    <w:rPr>
      <w:rFonts w:ascii="Trebuchet MS" w:eastAsiaTheme="majorEastAsia" w:hAnsi="Trebuchet MS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503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503025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503025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5030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030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8"/>
    <w:rsid w:val="00367794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025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03025"/>
    <w:rPr>
      <w:sz w:val="22"/>
    </w:rPr>
  </w:style>
  <w:style w:type="paragraph" w:styleId="BodyText2">
    <w:name w:val="Body Text 2"/>
    <w:basedOn w:val="Normal"/>
    <w:link w:val="BodyText2Char"/>
    <w:uiPriority w:val="3"/>
    <w:qFormat/>
    <w:rsid w:val="00503025"/>
    <w:pPr>
      <w:spacing w:after="240"/>
      <w:ind w:left="1440"/>
    </w:pPr>
    <w:rPr>
      <w:rFonts w:ascii="Trebuchet MS" w:hAnsi="Trebuchet MS"/>
    </w:rPr>
  </w:style>
  <w:style w:type="character" w:customStyle="1" w:styleId="BodyText2Char">
    <w:name w:val="Body Text 2 Char"/>
    <w:basedOn w:val="DefaultParagraphFont"/>
    <w:link w:val="BodyText2"/>
    <w:uiPriority w:val="3"/>
    <w:rsid w:val="00503025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503025"/>
    <w:pPr>
      <w:spacing w:after="240"/>
      <w:ind w:left="2160"/>
    </w:pPr>
    <w:rPr>
      <w:rFonts w:ascii="Trebuchet MS" w:hAnsi="Trebuchet MS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503025"/>
    <w:rPr>
      <w:rFonts w:ascii="Trebuchet MS" w:hAnsi="Trebuchet MS"/>
      <w:sz w:val="22"/>
      <w:szCs w:val="16"/>
    </w:rPr>
  </w:style>
  <w:style w:type="paragraph" w:styleId="Quote">
    <w:name w:val="Quote"/>
    <w:basedOn w:val="Normal"/>
    <w:next w:val="BodyText"/>
    <w:link w:val="QuoteChar"/>
    <w:uiPriority w:val="7"/>
    <w:qFormat/>
    <w:rsid w:val="00457D3C"/>
    <w:pPr>
      <w:spacing w:after="240"/>
      <w:ind w:left="1440" w:right="1440"/>
    </w:pPr>
    <w:rPr>
      <w:rFonts w:ascii="Trebuchet MS" w:hAnsi="Trebuchet MS"/>
      <w:i/>
      <w:iCs/>
    </w:rPr>
  </w:style>
  <w:style w:type="character" w:customStyle="1" w:styleId="QuoteChar">
    <w:name w:val="Quote Char"/>
    <w:basedOn w:val="DefaultParagraphFont"/>
    <w:link w:val="Quote"/>
    <w:uiPriority w:val="7"/>
    <w:rsid w:val="00457D3C"/>
    <w:rPr>
      <w:rFonts w:ascii="Trebuchet MS" w:hAnsi="Trebuchet MS"/>
      <w:i/>
      <w:iCs/>
      <w:sz w:val="22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8"/>
    <w:rsid w:val="00503025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914405"/>
    <w:pPr>
      <w:keepNext/>
      <w:keepLines/>
      <w:numPr>
        <w:numId w:val="7"/>
      </w:numPr>
      <w:spacing w:after="240"/>
      <w:outlineLvl w:val="0"/>
    </w:pPr>
    <w:rPr>
      <w:rFonts w:ascii="Trebuchet MS" w:hAnsi="Trebuchet MS"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4228EA"/>
    <w:pPr>
      <w:numPr>
        <w:ilvl w:val="1"/>
        <w:numId w:val="7"/>
      </w:numPr>
      <w:spacing w:after="240"/>
      <w:outlineLvl w:val="1"/>
    </w:pPr>
    <w:rPr>
      <w:rFonts w:ascii="Trebuchet MS" w:hAnsi="Trebuchet MS"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4228EA"/>
    <w:pPr>
      <w:numPr>
        <w:ilvl w:val="2"/>
        <w:numId w:val="7"/>
      </w:numPr>
      <w:spacing w:after="240"/>
      <w:outlineLvl w:val="2"/>
    </w:pPr>
    <w:rPr>
      <w:rFonts w:ascii="Trebuchet MS" w:hAnsi="Trebuchet MS"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4228EA"/>
    <w:pPr>
      <w:numPr>
        <w:ilvl w:val="3"/>
        <w:numId w:val="7"/>
      </w:numPr>
      <w:spacing w:after="240"/>
      <w:outlineLvl w:val="3"/>
    </w:pPr>
    <w:rPr>
      <w:rFonts w:ascii="Trebuchet MS" w:hAnsi="Trebuchet MS"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4228EA"/>
    <w:pPr>
      <w:numPr>
        <w:ilvl w:val="4"/>
        <w:numId w:val="7"/>
      </w:numPr>
      <w:spacing w:after="240"/>
      <w:outlineLvl w:val="4"/>
    </w:pPr>
    <w:rPr>
      <w:rFonts w:ascii="Trebuchet MS" w:hAnsi="Trebuchet MS"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4228EA"/>
    <w:pPr>
      <w:numPr>
        <w:numId w:val="9"/>
      </w:numPr>
      <w:spacing w:after="240"/>
      <w:outlineLvl w:val="0"/>
    </w:pPr>
    <w:rPr>
      <w:rFonts w:ascii="Trebuchet MS" w:hAnsi="Trebuchet MS"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4228EA"/>
    <w:pPr>
      <w:numPr>
        <w:ilvl w:val="1"/>
        <w:numId w:val="9"/>
      </w:numPr>
      <w:spacing w:after="240"/>
      <w:outlineLvl w:val="1"/>
    </w:pPr>
    <w:rPr>
      <w:rFonts w:asciiTheme="majorHAnsi" w:hAnsiTheme="majorHAnsi"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4228EA"/>
    <w:pPr>
      <w:numPr>
        <w:ilvl w:val="2"/>
        <w:numId w:val="9"/>
      </w:numPr>
      <w:spacing w:after="240"/>
      <w:outlineLvl w:val="2"/>
    </w:pPr>
    <w:rPr>
      <w:rFonts w:asciiTheme="majorHAnsi" w:hAnsiTheme="majorHAnsi"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4228EA"/>
    <w:pPr>
      <w:numPr>
        <w:ilvl w:val="3"/>
        <w:numId w:val="9"/>
      </w:numPr>
      <w:spacing w:after="240"/>
      <w:outlineLvl w:val="3"/>
    </w:pPr>
    <w:rPr>
      <w:rFonts w:asciiTheme="majorHAnsi" w:hAnsiTheme="majorHAnsi"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4228EA"/>
    <w:pPr>
      <w:numPr>
        <w:ilvl w:val="4"/>
        <w:numId w:val="9"/>
      </w:numPr>
      <w:spacing w:after="240"/>
      <w:outlineLvl w:val="4"/>
    </w:pPr>
    <w:rPr>
      <w:rFonts w:asciiTheme="majorHAnsi" w:hAnsiTheme="majorHAnsi"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503025"/>
    <w:pPr>
      <w:spacing w:after="240"/>
      <w:ind w:left="720"/>
    </w:pPr>
    <w:rPr>
      <w:rFonts w:ascii="Trebuchet MS" w:hAnsi="Trebuchet MS"/>
    </w:rPr>
  </w:style>
  <w:style w:type="character" w:customStyle="1" w:styleId="BodyText1Char">
    <w:name w:val="Body Text 1 Char"/>
    <w:basedOn w:val="DefaultParagraphFont"/>
    <w:link w:val="BodyText1"/>
    <w:uiPriority w:val="2"/>
    <w:rsid w:val="00503025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30"/>
    <w:qFormat/>
    <w:rsid w:val="004228EA"/>
    <w:pPr>
      <w:numPr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ullet2">
    <w:name w:val="Bullet 2"/>
    <w:basedOn w:val="Normal"/>
    <w:uiPriority w:val="30"/>
    <w:qFormat/>
    <w:rsid w:val="004228EA"/>
    <w:pPr>
      <w:numPr>
        <w:ilvl w:val="1"/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ullet3">
    <w:name w:val="Bullet 3"/>
    <w:basedOn w:val="Normal"/>
    <w:uiPriority w:val="30"/>
    <w:qFormat/>
    <w:rsid w:val="004228EA"/>
    <w:pPr>
      <w:numPr>
        <w:ilvl w:val="2"/>
        <w:numId w:val="3"/>
      </w:numPr>
      <w:spacing w:after="240"/>
    </w:pPr>
    <w:rPr>
      <w:rFonts w:ascii="Trebuchet MS" w:hAnsi="Trebuchet MS"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503025"/>
    <w:pPr>
      <w:spacing w:after="240"/>
      <w:ind w:left="2880"/>
    </w:pPr>
  </w:style>
  <w:style w:type="character" w:customStyle="1" w:styleId="BodyText4Char">
    <w:name w:val="Body Text 4 Char"/>
    <w:basedOn w:val="DefaultParagraphFont"/>
    <w:link w:val="BodyText4"/>
    <w:uiPriority w:val="3"/>
    <w:rsid w:val="00503025"/>
    <w:rPr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503025"/>
    <w:pPr>
      <w:spacing w:after="240"/>
      <w:ind w:left="3600"/>
    </w:pPr>
  </w:style>
  <w:style w:type="character" w:customStyle="1" w:styleId="BodyText5Char">
    <w:name w:val="Body Text 5 Char"/>
    <w:basedOn w:val="DefaultParagraphFont"/>
    <w:link w:val="BodyText5"/>
    <w:uiPriority w:val="3"/>
    <w:rsid w:val="00503025"/>
    <w:rPr>
      <w:sz w:val="22"/>
    </w:rPr>
  </w:style>
  <w:style w:type="paragraph" w:customStyle="1" w:styleId="Appendix">
    <w:name w:val="Appendix"/>
    <w:basedOn w:val="Normal"/>
    <w:next w:val="BodyText"/>
    <w:uiPriority w:val="69"/>
    <w:qFormat/>
    <w:rsid w:val="00D13497"/>
    <w:pPr>
      <w:keepNext/>
      <w:pageBreakBefore/>
      <w:numPr>
        <w:numId w:val="1"/>
      </w:numPr>
      <w:tabs>
        <w:tab w:val="left" w:pos="2160"/>
      </w:tabs>
      <w:spacing w:after="240"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numbering" w:customStyle="1" w:styleId="AppendixHeading">
    <w:name w:val="Appendix Heading"/>
    <w:uiPriority w:val="99"/>
    <w:rsid w:val="0050302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25"/>
    <w:rPr>
      <w:rFonts w:ascii="Tahoma" w:hAnsi="Tahoma" w:cs="Tahoma"/>
      <w:sz w:val="16"/>
      <w:szCs w:val="16"/>
    </w:rPr>
  </w:style>
  <w:style w:type="numbering" w:customStyle="1" w:styleId="Bullets">
    <w:name w:val="Bullets"/>
    <w:uiPriority w:val="99"/>
    <w:rsid w:val="00503025"/>
    <w:pPr>
      <w:numPr>
        <w:numId w:val="4"/>
      </w:numPr>
    </w:pPr>
  </w:style>
  <w:style w:type="paragraph" w:customStyle="1" w:styleId="CoverDate">
    <w:name w:val="Cover Date"/>
    <w:basedOn w:val="BodyText"/>
    <w:next w:val="Normal"/>
    <w:uiPriority w:val="32"/>
    <w:qFormat/>
    <w:rsid w:val="00503025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Normal"/>
    <w:uiPriority w:val="31"/>
    <w:qFormat/>
    <w:rsid w:val="00503025"/>
    <w:pPr>
      <w:keepNext/>
      <w:spacing w:after="480"/>
    </w:pPr>
    <w:rPr>
      <w:rFonts w:asciiTheme="majorHAnsi" w:hAnsiTheme="majorHAnsi"/>
      <w:b/>
      <w:sz w:val="32"/>
      <w:szCs w:val="36"/>
    </w:rPr>
  </w:style>
  <w:style w:type="paragraph" w:customStyle="1" w:styleId="CoverPartyName">
    <w:name w:val="Cover Party Name"/>
    <w:basedOn w:val="BodyText"/>
    <w:uiPriority w:val="33"/>
    <w:qFormat/>
    <w:rsid w:val="004D6442"/>
    <w:pPr>
      <w:numPr>
        <w:numId w:val="5"/>
      </w:numPr>
      <w:ind w:left="720" w:hanging="720"/>
    </w:pPr>
    <w:rPr>
      <w:b/>
      <w:bCs/>
      <w:sz w:val="24"/>
      <w:szCs w:val="24"/>
    </w:rPr>
  </w:style>
  <w:style w:type="paragraph" w:customStyle="1" w:styleId="CoverText">
    <w:name w:val="Cover Text"/>
    <w:basedOn w:val="BodyText"/>
    <w:uiPriority w:val="34"/>
    <w:qFormat/>
    <w:rsid w:val="00503025"/>
    <w:rPr>
      <w:sz w:val="24"/>
    </w:rPr>
  </w:style>
  <w:style w:type="numbering" w:customStyle="1" w:styleId="Definitions">
    <w:name w:val="Definitions"/>
    <w:uiPriority w:val="99"/>
    <w:rsid w:val="00503025"/>
    <w:pPr>
      <w:numPr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503025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03025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03025"/>
    <w:rPr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03025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0302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503025"/>
    <w:pPr>
      <w:keepNext/>
    </w:pPr>
    <w:rPr>
      <w:b/>
      <w:bCs/>
      <w:szCs w:val="24"/>
    </w:rPr>
  </w:style>
  <w:style w:type="numbering" w:customStyle="1" w:styleId="MainNumbering">
    <w:name w:val="Main Numbering"/>
    <w:uiPriority w:val="99"/>
    <w:rsid w:val="00503025"/>
    <w:pPr>
      <w:numPr>
        <w:numId w:val="8"/>
      </w:numPr>
    </w:pPr>
  </w:style>
  <w:style w:type="paragraph" w:customStyle="1" w:styleId="Part">
    <w:name w:val="Part"/>
    <w:basedOn w:val="Normal"/>
    <w:next w:val="Normal"/>
    <w:uiPriority w:val="60"/>
    <w:qFormat/>
    <w:rsid w:val="004D6442"/>
    <w:pPr>
      <w:keepNext/>
      <w:numPr>
        <w:numId w:val="12"/>
      </w:numPr>
      <w:spacing w:after="240"/>
      <w:ind w:left="720" w:hanging="720"/>
      <w:outlineLvl w:val="1"/>
    </w:pPr>
    <w:rPr>
      <w:rFonts w:asciiTheme="majorHAnsi" w:hAnsiTheme="majorHAnsi"/>
      <w:b/>
      <w:bCs/>
      <w:szCs w:val="28"/>
    </w:rPr>
  </w:style>
  <w:style w:type="numbering" w:customStyle="1" w:styleId="Parties">
    <w:name w:val="Parties"/>
    <w:uiPriority w:val="99"/>
    <w:rsid w:val="00503025"/>
    <w:pPr>
      <w:numPr>
        <w:numId w:val="10"/>
      </w:numPr>
    </w:pPr>
  </w:style>
  <w:style w:type="paragraph" w:customStyle="1" w:styleId="Parties1">
    <w:name w:val="Parties 1"/>
    <w:basedOn w:val="BodyText"/>
    <w:uiPriority w:val="41"/>
    <w:qFormat/>
    <w:rsid w:val="004D6442"/>
    <w:pPr>
      <w:numPr>
        <w:numId w:val="11"/>
      </w:numPr>
      <w:ind w:left="720" w:hanging="720"/>
    </w:pPr>
  </w:style>
  <w:style w:type="numbering" w:customStyle="1" w:styleId="PartiesNumbering">
    <w:name w:val="Parties Numbering"/>
    <w:uiPriority w:val="99"/>
    <w:rsid w:val="00503025"/>
    <w:pPr>
      <w:numPr>
        <w:numId w:val="12"/>
      </w:numPr>
    </w:pPr>
  </w:style>
  <w:style w:type="paragraph" w:customStyle="1" w:styleId="Sch1Number">
    <w:name w:val="Sch 1 Number"/>
    <w:basedOn w:val="Normal"/>
    <w:uiPriority w:val="59"/>
    <w:qFormat/>
    <w:rsid w:val="004228EA"/>
    <w:pPr>
      <w:numPr>
        <w:ilvl w:val="1"/>
        <w:numId w:val="13"/>
      </w:numPr>
      <w:spacing w:after="240"/>
    </w:pPr>
  </w:style>
  <w:style w:type="paragraph" w:customStyle="1" w:styleId="Sch2Number">
    <w:name w:val="Sch 2 Number"/>
    <w:basedOn w:val="Normal"/>
    <w:uiPriority w:val="59"/>
    <w:qFormat/>
    <w:rsid w:val="004228EA"/>
    <w:pPr>
      <w:numPr>
        <w:ilvl w:val="2"/>
        <w:numId w:val="13"/>
      </w:numPr>
      <w:spacing w:after="240"/>
    </w:pPr>
    <w:rPr>
      <w:rFonts w:asciiTheme="majorHAnsi" w:hAnsiTheme="majorHAnsi"/>
    </w:rPr>
  </w:style>
  <w:style w:type="paragraph" w:customStyle="1" w:styleId="Sch3Number">
    <w:name w:val="Sch 3 Number"/>
    <w:basedOn w:val="Normal"/>
    <w:uiPriority w:val="59"/>
    <w:qFormat/>
    <w:rsid w:val="004228EA"/>
    <w:pPr>
      <w:numPr>
        <w:ilvl w:val="3"/>
        <w:numId w:val="13"/>
      </w:numPr>
      <w:spacing w:after="240"/>
    </w:pPr>
    <w:rPr>
      <w:rFonts w:asciiTheme="majorHAnsi" w:hAnsiTheme="majorHAnsi"/>
    </w:rPr>
  </w:style>
  <w:style w:type="paragraph" w:customStyle="1" w:styleId="Sch4Number">
    <w:name w:val="Sch 4 Number"/>
    <w:basedOn w:val="Normal"/>
    <w:uiPriority w:val="59"/>
    <w:qFormat/>
    <w:rsid w:val="004228EA"/>
    <w:pPr>
      <w:numPr>
        <w:ilvl w:val="4"/>
        <w:numId w:val="13"/>
      </w:numPr>
      <w:spacing w:after="240"/>
    </w:pPr>
    <w:rPr>
      <w:rFonts w:asciiTheme="majorHAnsi" w:hAnsiTheme="majorHAnsi"/>
    </w:rPr>
  </w:style>
  <w:style w:type="paragraph" w:customStyle="1" w:styleId="Sch5Number">
    <w:name w:val="Sch 5 Number"/>
    <w:basedOn w:val="Normal"/>
    <w:uiPriority w:val="59"/>
    <w:qFormat/>
    <w:rsid w:val="004228EA"/>
    <w:pPr>
      <w:numPr>
        <w:ilvl w:val="5"/>
        <w:numId w:val="13"/>
      </w:numPr>
      <w:spacing w:after="240"/>
    </w:pPr>
    <w:rPr>
      <w:rFonts w:asciiTheme="majorHAnsi" w:hAnsiTheme="majorHAnsi"/>
    </w:rPr>
  </w:style>
  <w:style w:type="paragraph" w:customStyle="1" w:styleId="Schedule">
    <w:name w:val="Schedule"/>
    <w:basedOn w:val="Normal"/>
    <w:next w:val="Normal"/>
    <w:uiPriority w:val="49"/>
    <w:qFormat/>
    <w:rsid w:val="00D13497"/>
    <w:pPr>
      <w:keepNext/>
      <w:pageBreakBefore/>
      <w:numPr>
        <w:numId w:val="13"/>
      </w:numPr>
      <w:tabs>
        <w:tab w:val="left" w:pos="2160"/>
      </w:tabs>
      <w:spacing w:after="240"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numbering" w:customStyle="1" w:styleId="ScheduleNumbering">
    <w:name w:val="Schedule Numbering"/>
    <w:uiPriority w:val="99"/>
    <w:rsid w:val="00503025"/>
    <w:pPr>
      <w:numPr>
        <w:numId w:val="14"/>
      </w:numPr>
    </w:pPr>
  </w:style>
  <w:style w:type="paragraph" w:customStyle="1" w:styleId="SubSchedule">
    <w:name w:val="Sub Schedule"/>
    <w:basedOn w:val="Normal"/>
    <w:next w:val="BodyText"/>
    <w:uiPriority w:val="49"/>
    <w:qFormat/>
    <w:rsid w:val="00503025"/>
    <w:pPr>
      <w:keepNext/>
      <w:spacing w:after="240"/>
      <w:jc w:val="center"/>
      <w:outlineLvl w:val="1"/>
    </w:pPr>
    <w:rPr>
      <w:rFonts w:asciiTheme="majorHAnsi" w:hAnsiTheme="majorHAnsi"/>
      <w:b/>
      <w:bCs/>
      <w:szCs w:val="28"/>
    </w:rPr>
  </w:style>
  <w:style w:type="table" w:styleId="TableGrid">
    <w:name w:val="Table Grid"/>
    <w:basedOn w:val="TableNormal"/>
    <w:uiPriority w:val="59"/>
    <w:rsid w:val="00503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503025"/>
    <w:pPr>
      <w:keepNext/>
      <w:pageBreakBefore/>
      <w:jc w:val="left"/>
    </w:pPr>
    <w:rPr>
      <w:b/>
      <w:bCs/>
      <w:szCs w:val="32"/>
    </w:rPr>
  </w:style>
  <w:style w:type="paragraph" w:customStyle="1" w:styleId="AmendableLevel1">
    <w:name w:val="Amendable Level 1"/>
    <w:basedOn w:val="Normal"/>
    <w:uiPriority w:val="79"/>
    <w:qFormat/>
    <w:rsid w:val="00E03568"/>
    <w:pPr>
      <w:numPr>
        <w:numId w:val="15"/>
      </w:numPr>
      <w:outlineLvl w:val="0"/>
    </w:pPr>
  </w:style>
  <w:style w:type="paragraph" w:customStyle="1" w:styleId="AmendableLevel2">
    <w:name w:val="Amendable Level 2"/>
    <w:basedOn w:val="Normal"/>
    <w:uiPriority w:val="79"/>
    <w:qFormat/>
    <w:rsid w:val="00E03568"/>
    <w:pPr>
      <w:numPr>
        <w:ilvl w:val="1"/>
        <w:numId w:val="15"/>
      </w:numPr>
      <w:outlineLvl w:val="1"/>
    </w:pPr>
  </w:style>
  <w:style w:type="paragraph" w:customStyle="1" w:styleId="AmendableLevel3">
    <w:name w:val="Amendable Level 3"/>
    <w:basedOn w:val="Normal"/>
    <w:uiPriority w:val="79"/>
    <w:qFormat/>
    <w:rsid w:val="00E03568"/>
    <w:pPr>
      <w:numPr>
        <w:ilvl w:val="2"/>
        <w:numId w:val="15"/>
      </w:numPr>
      <w:outlineLvl w:val="2"/>
    </w:pPr>
  </w:style>
  <w:style w:type="paragraph" w:customStyle="1" w:styleId="AmendableLevel4">
    <w:name w:val="Amendable Level 4"/>
    <w:basedOn w:val="Normal"/>
    <w:uiPriority w:val="79"/>
    <w:qFormat/>
    <w:rsid w:val="00E03568"/>
    <w:pPr>
      <w:numPr>
        <w:ilvl w:val="3"/>
        <w:numId w:val="17"/>
      </w:numPr>
      <w:ind w:left="3237" w:hanging="1077"/>
      <w:outlineLvl w:val="3"/>
    </w:pPr>
  </w:style>
  <w:style w:type="paragraph" w:customStyle="1" w:styleId="AmendableLevel5">
    <w:name w:val="Amendable Level 5"/>
    <w:basedOn w:val="Normal"/>
    <w:uiPriority w:val="79"/>
    <w:qFormat/>
    <w:rsid w:val="00E03568"/>
    <w:pPr>
      <w:numPr>
        <w:ilvl w:val="4"/>
        <w:numId w:val="17"/>
      </w:numPr>
      <w:outlineLvl w:val="4"/>
    </w:pPr>
  </w:style>
  <w:style w:type="paragraph" w:customStyle="1" w:styleId="BDHeader">
    <w:name w:val="BD Header"/>
    <w:basedOn w:val="BDBodyText"/>
    <w:next w:val="BDBodyText"/>
    <w:link w:val="BDHeaderChar"/>
    <w:uiPriority w:val="79"/>
    <w:qFormat/>
    <w:rsid w:val="009B523D"/>
    <w:rPr>
      <w:rFonts w:ascii="Louisiana" w:hAnsi="Louisiana"/>
      <w:color w:val="B30838" w:themeColor="text2"/>
      <w:sz w:val="52"/>
    </w:rPr>
  </w:style>
  <w:style w:type="paragraph" w:customStyle="1" w:styleId="BDBodyText">
    <w:name w:val="BD Body Text"/>
    <w:basedOn w:val="Normal"/>
    <w:link w:val="BDBodyTextChar"/>
    <w:uiPriority w:val="80"/>
    <w:qFormat/>
    <w:rsid w:val="009B523D"/>
    <w:pPr>
      <w:spacing w:line="360" w:lineRule="auto"/>
    </w:pPr>
    <w:rPr>
      <w:sz w:val="20"/>
    </w:rPr>
  </w:style>
  <w:style w:type="character" w:customStyle="1" w:styleId="BDHeaderChar">
    <w:name w:val="BD Header Char"/>
    <w:basedOn w:val="BodyTextChar"/>
    <w:link w:val="BDHeader"/>
    <w:uiPriority w:val="79"/>
    <w:rsid w:val="009B523D"/>
    <w:rPr>
      <w:rFonts w:ascii="Louisiana" w:hAnsi="Louisiana"/>
      <w:color w:val="B30838" w:themeColor="text2"/>
      <w:sz w:val="52"/>
    </w:rPr>
  </w:style>
  <w:style w:type="paragraph" w:customStyle="1" w:styleId="BDBodyTextSmall">
    <w:name w:val="BD Body Text Small"/>
    <w:uiPriority w:val="80"/>
    <w:qFormat/>
    <w:rsid w:val="009B523D"/>
    <w:pPr>
      <w:spacing w:line="240" w:lineRule="auto"/>
    </w:pPr>
    <w:rPr>
      <w:sz w:val="16"/>
    </w:rPr>
  </w:style>
  <w:style w:type="character" w:customStyle="1" w:styleId="BDBodyTextChar">
    <w:name w:val="BD Body Text Char"/>
    <w:basedOn w:val="DefaultParagraphFont"/>
    <w:link w:val="BDBodyText"/>
    <w:uiPriority w:val="80"/>
    <w:rsid w:val="009B523D"/>
  </w:style>
  <w:style w:type="paragraph" w:customStyle="1" w:styleId="BDHeading1">
    <w:name w:val="BD Heading 1"/>
    <w:basedOn w:val="Normal"/>
    <w:next w:val="BDHeading2"/>
    <w:uiPriority w:val="79"/>
    <w:qFormat/>
    <w:rsid w:val="009B523D"/>
    <w:pPr>
      <w:keepNext/>
      <w:spacing w:line="360" w:lineRule="auto"/>
      <w:outlineLvl w:val="0"/>
    </w:pPr>
    <w:rPr>
      <w:b/>
      <w:color w:val="56004E" w:themeColor="accent4"/>
    </w:rPr>
  </w:style>
  <w:style w:type="paragraph" w:customStyle="1" w:styleId="BDHeading2">
    <w:name w:val="BD Heading 2"/>
    <w:basedOn w:val="BDBodyText"/>
    <w:next w:val="BDBodyText"/>
    <w:uiPriority w:val="79"/>
    <w:qFormat/>
    <w:rsid w:val="009B523D"/>
    <w:pPr>
      <w:keepNext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C1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5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9C1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5C"/>
    <w:rPr>
      <w:sz w:val="22"/>
    </w:rPr>
  </w:style>
  <w:style w:type="paragraph" w:styleId="ListParagraph">
    <w:name w:val="List Paragraph"/>
    <w:basedOn w:val="Normal"/>
    <w:uiPriority w:val="49"/>
    <w:unhideWhenUsed/>
    <w:qFormat/>
    <w:rsid w:val="004F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8.bin"/><Relationship Id="rId3" Type="http://schemas.openxmlformats.org/officeDocument/2006/relationships/oleObject" Target="embeddings/oleObject3.bin"/><Relationship Id="rId7" Type="http://schemas.openxmlformats.org/officeDocument/2006/relationships/oleObject" Target="embeddings/oleObject7.bin"/><Relationship Id="rId12" Type="http://schemas.openxmlformats.org/officeDocument/2006/relationships/oleObject" Target="embeddings/oleObject12.bin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6" Type="http://schemas.openxmlformats.org/officeDocument/2006/relationships/oleObject" Target="embeddings/oleObject6.bin"/><Relationship Id="rId11" Type="http://schemas.openxmlformats.org/officeDocument/2006/relationships/oleObject" Target="embeddings/oleObject11.bin"/><Relationship Id="rId5" Type="http://schemas.openxmlformats.org/officeDocument/2006/relationships/oleObject" Target="embeddings/oleObject5.bin"/><Relationship Id="rId10" Type="http://schemas.openxmlformats.org/officeDocument/2006/relationships/oleObject" Target="embeddings/oleObject10.bin"/><Relationship Id="rId4" Type="http://schemas.openxmlformats.org/officeDocument/2006/relationships/oleObject" Target="embeddings/oleObject4.bin"/><Relationship Id="rId9" Type="http://schemas.openxmlformats.org/officeDocument/2006/relationships/oleObject" Target="embeddings/oleObject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ikit\TMS\Browne%20Jacobson\Workgroup%20Templates\Blank%20-%20Shared%20Services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478B-4800-4105-A0B5-7FC7184D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- Shared Services</Template>
  <TotalTime>94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donnaco</dc:creator>
  <cp:lastModifiedBy>S Sills</cp:lastModifiedBy>
  <cp:revision>9</cp:revision>
  <cp:lastPrinted>2024-11-17T11:18:00Z</cp:lastPrinted>
  <dcterms:created xsi:type="dcterms:W3CDTF">2021-03-07T11:49:00Z</dcterms:created>
  <dcterms:modified xsi:type="dcterms:W3CDTF">2024-11-17T13:11:00Z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L:12381658v1</vt:lpwstr>
  </property>
  <property fmtid="{D5CDD505-2E9C-101B-9397-08002B2CF9AE}" pid="3" name="Document Number">
    <vt:lpwstr>L:12381658v1</vt:lpwstr>
  </property>
  <property fmtid="{D5CDD505-2E9C-101B-9397-08002B2CF9AE}" pid="4" name="MAIL_MSG_ID1">
    <vt:lpwstr>gFAA5ajW4yTOEjtPXLIeVwjNbdJySgmqaHbN8ozybWfx1LGeKcT3yb8ux6jwQk05nM2hCvvHpF45Sbzf
ioPmF4UGzAUWZ2bH8B7JoqwbnM8QU6yK8Ky/yhIQZy9KJ7e2WV5UWhd8OkIyA7NFnJpWIAF2Gpeh
Y2fpAhTaztfG9Xuzwn/Jbza0mxVttEeVrDvWfWm5R9fOgU1z4MV1r/9LB7sHAbwn359O2UFSWghI
M8x0Iu9CMEKWvdLHb</vt:lpwstr>
  </property>
  <property fmtid="{D5CDD505-2E9C-101B-9397-08002B2CF9AE}" pid="5" name="MAIL_MSG_ID2">
    <vt:lpwstr>lqVoa9KsBowR8AaiwT1cbRJuZG3WidUBhN3dDEhxkuLSHAckNXZF8OeK3A/
Xyh3QHHwwJ+/tzlWorKcWIqb7gCjZEGVeRfdFA==</vt:lpwstr>
  </property>
  <property fmtid="{D5CDD505-2E9C-101B-9397-08002B2CF9AE}" pid="6" name="RESPONSE_SENDER_NAME">
    <vt:lpwstr>sAAAE34RQVAK31mDLUA7D2ZZdBVolx4Avi+mSfEeJ23ZocE=</vt:lpwstr>
  </property>
  <property fmtid="{D5CDD505-2E9C-101B-9397-08002B2CF9AE}" pid="7" name="EMAIL_OWNER_ADDRESS">
    <vt:lpwstr>ABAAmylTnWthiz9VPVoKwKjAP63wUX4CvfjqikmnpWOs8mQKs4PGCcypnvl1n31GKNJQ</vt:lpwstr>
  </property>
</Properties>
</file>